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85" w:rsidRDefault="006F1985" w:rsidP="006F1985">
      <w:pPr>
        <w:rPr>
          <w:lang w:val="en-US"/>
        </w:rPr>
      </w:pPr>
      <w:r>
        <w:rPr>
          <w:noProof/>
        </w:rPr>
        <w:drawing>
          <wp:anchor distT="0" distB="0" distL="114300" distR="114300" simplePos="0" relativeHeight="251660288" behindDoc="1" locked="1" layoutInCell="1" allowOverlap="0">
            <wp:simplePos x="0" y="0"/>
            <wp:positionH relativeFrom="column">
              <wp:align>center</wp:align>
            </wp:positionH>
            <wp:positionV relativeFrom="page">
              <wp:posOffset>-27305</wp:posOffset>
            </wp:positionV>
            <wp:extent cx="7560310" cy="1548130"/>
            <wp:effectExtent l="0" t="0" r="254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0310" cy="154813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499193937"/>
      <w:bookmarkStart w:id="1" w:name="_MailOriginal"/>
      <w:bookmarkEnd w:id="0"/>
    </w:p>
    <w:tbl>
      <w:tblPr>
        <w:tblW w:w="0" w:type="auto"/>
        <w:jc w:val="center"/>
        <w:tblCellMar>
          <w:left w:w="0" w:type="dxa"/>
          <w:right w:w="0" w:type="dxa"/>
        </w:tblCellMar>
        <w:tblLook w:val="04A0" w:firstRow="1" w:lastRow="0" w:firstColumn="1" w:lastColumn="0" w:noHBand="0" w:noVBand="1"/>
      </w:tblPr>
      <w:tblGrid>
        <w:gridCol w:w="9288"/>
      </w:tblGrid>
      <w:tr w:rsidR="006F1985" w:rsidRPr="006F1985" w:rsidTr="006F1985">
        <w:trPr>
          <w:jc w:val="center"/>
        </w:trPr>
        <w:tc>
          <w:tcPr>
            <w:tcW w:w="9819" w:type="dxa"/>
            <w:tcMar>
              <w:top w:w="0" w:type="dxa"/>
              <w:left w:w="108" w:type="dxa"/>
              <w:bottom w:w="0" w:type="dxa"/>
              <w:right w:w="108" w:type="dxa"/>
            </w:tcMar>
            <w:hideMark/>
          </w:tcPr>
          <w:tbl>
            <w:tblPr>
              <w:tblpPr w:leftFromText="141" w:rightFromText="141" w:vertAnchor="text"/>
              <w:tblW w:w="0" w:type="auto"/>
              <w:tblCellMar>
                <w:left w:w="0" w:type="dxa"/>
                <w:right w:w="0" w:type="dxa"/>
              </w:tblCellMar>
              <w:tblLook w:val="04A0" w:firstRow="1" w:lastRow="0" w:firstColumn="1" w:lastColumn="0" w:noHBand="0" w:noVBand="1"/>
            </w:tblPr>
            <w:tblGrid>
              <w:gridCol w:w="9072"/>
            </w:tblGrid>
            <w:tr w:rsidR="006F1985" w:rsidRPr="006F1985">
              <w:tc>
                <w:tcPr>
                  <w:tcW w:w="9819" w:type="dxa"/>
                  <w:tcMar>
                    <w:top w:w="0" w:type="dxa"/>
                    <w:left w:w="108" w:type="dxa"/>
                    <w:bottom w:w="0" w:type="dxa"/>
                    <w:right w:w="108" w:type="dxa"/>
                  </w:tcMar>
                </w:tcPr>
                <w:p w:rsidR="006F1985" w:rsidRDefault="006F1985">
                  <w:pPr>
                    <w:pStyle w:val="Textkrper2"/>
                    <w:spacing w:line="360" w:lineRule="auto"/>
                    <w:rPr>
                      <w:rFonts w:ascii="Century Gothic" w:hAnsi="Century Gothic"/>
                      <w:b/>
                      <w:bCs/>
                      <w:color w:val="auto"/>
                      <w:sz w:val="22"/>
                      <w:szCs w:val="22"/>
                    </w:rPr>
                  </w:pPr>
                  <w:bookmarkStart w:id="2" w:name="_Hlk498960910"/>
                  <w:bookmarkStart w:id="3" w:name="_GoBack"/>
                  <w:bookmarkEnd w:id="2"/>
                  <w:bookmarkEnd w:id="3"/>
                  <w:r>
                    <w:rPr>
                      <w:rFonts w:ascii="Century Gothic" w:hAnsi="Century Gothic"/>
                      <w:b/>
                      <w:bCs/>
                      <w:color w:val="auto"/>
                      <w:sz w:val="22"/>
                      <w:szCs w:val="22"/>
                    </w:rPr>
                    <w:t>Pressemitteilung uschi liebl pr</w:t>
                  </w:r>
                </w:p>
                <w:p w:rsidR="006F1985" w:rsidRDefault="006F1985">
                  <w:pPr>
                    <w:pStyle w:val="Textkrper2"/>
                    <w:spacing w:line="480" w:lineRule="auto"/>
                    <w:jc w:val="right"/>
                    <w:rPr>
                      <w:rFonts w:ascii="Century Gothic" w:hAnsi="Century Gothic"/>
                      <w:b/>
                      <w:bCs/>
                      <w:color w:val="auto"/>
                      <w:sz w:val="22"/>
                      <w:szCs w:val="22"/>
                    </w:rPr>
                  </w:pPr>
                  <w:r>
                    <w:rPr>
                      <w:rFonts w:ascii="Century Gothic" w:hAnsi="Century Gothic"/>
                      <w:b/>
                      <w:bCs/>
                      <w:color w:val="auto"/>
                      <w:sz w:val="22"/>
                      <w:szCs w:val="22"/>
                    </w:rPr>
                    <w:t>17. Oktober 2022</w:t>
                  </w:r>
                </w:p>
                <w:p w:rsidR="006F1985" w:rsidRDefault="006F1985">
                  <w:pPr>
                    <w:rPr>
                      <w:rFonts w:ascii="Arial" w:hAnsi="Arial" w:cs="Arial"/>
                      <w:b/>
                      <w:bCs/>
                      <w:sz w:val="20"/>
                      <w:szCs w:val="20"/>
                    </w:rPr>
                  </w:pPr>
                </w:p>
                <w:p w:rsidR="006F1985" w:rsidRDefault="006F1985">
                  <w:pPr>
                    <w:pStyle w:val="Untertitel"/>
                    <w:spacing w:line="360" w:lineRule="auto"/>
                    <w:jc w:val="center"/>
                    <w:rPr>
                      <w:rFonts w:ascii="Century Gothic" w:hAnsi="Century Gothic"/>
                      <w:sz w:val="24"/>
                      <w:szCs w:val="24"/>
                      <w:lang w:eastAsia="de-DE"/>
                    </w:rPr>
                  </w:pPr>
                  <w:r>
                    <w:rPr>
                      <w:rFonts w:ascii="Century Gothic" w:hAnsi="Century Gothic"/>
                      <w:sz w:val="24"/>
                      <w:szCs w:val="24"/>
                      <w:lang w:eastAsia="de-DE"/>
                    </w:rPr>
                    <w:t>40 Prozent Ermäßigung und maximale Flexibilität</w:t>
                  </w:r>
                </w:p>
                <w:p w:rsidR="006F1985" w:rsidRDefault="006F1985">
                  <w:pPr>
                    <w:pStyle w:val="Textkrper"/>
                    <w:spacing w:after="240"/>
                    <w:jc w:val="center"/>
                    <w:rPr>
                      <w:rFonts w:ascii="Century Gothic" w:hAnsi="Century Gothic"/>
                      <w:b/>
                      <w:bCs/>
                      <w:color w:val="1F497D"/>
                      <w:sz w:val="28"/>
                      <w:szCs w:val="28"/>
                      <w:lang w:eastAsia="ar-SA"/>
                    </w:rPr>
                  </w:pPr>
                  <w:r>
                    <w:rPr>
                      <w:rFonts w:ascii="Century Gothic" w:hAnsi="Century Gothic"/>
                      <w:b/>
                      <w:bCs/>
                      <w:color w:val="000000"/>
                      <w:sz w:val="28"/>
                      <w:szCs w:val="28"/>
                      <w:lang w:eastAsia="ar-SA"/>
                    </w:rPr>
                    <w:t>GNV gibt den Start der Buchungen für 2023 bekannt</w:t>
                  </w:r>
                </w:p>
                <w:p w:rsidR="006F1985" w:rsidRDefault="006F1985">
                  <w:pPr>
                    <w:autoSpaceDE w:val="0"/>
                    <w:autoSpaceDN w:val="0"/>
                    <w:spacing w:after="240" w:line="360" w:lineRule="auto"/>
                    <w:rPr>
                      <w:rFonts w:ascii="Century Gothic" w:hAnsi="Century Gothic"/>
                      <w:b/>
                      <w:bCs/>
                    </w:rPr>
                  </w:pPr>
                  <w:r>
                    <w:rPr>
                      <w:rFonts w:ascii="Century Gothic" w:hAnsi="Century Gothic"/>
                      <w:b/>
                      <w:bCs/>
                    </w:rPr>
                    <w:t xml:space="preserve">Das italienische Fährunternehmen Grandi Navi </w:t>
                  </w:r>
                  <w:proofErr w:type="spellStart"/>
                  <w:r>
                    <w:rPr>
                      <w:rFonts w:ascii="Century Gothic" w:hAnsi="Century Gothic"/>
                      <w:b/>
                      <w:bCs/>
                    </w:rPr>
                    <w:t>Veloci</w:t>
                  </w:r>
                  <w:proofErr w:type="spellEnd"/>
                  <w:r>
                    <w:rPr>
                      <w:rFonts w:ascii="Century Gothic" w:hAnsi="Century Gothic"/>
                      <w:b/>
                      <w:bCs/>
                    </w:rPr>
                    <w:t xml:space="preserve"> gibt das Datum der Buchungseröffnung für die Saison 2023 bekannt: ab dem 24. Oktober 2022 können Fahrten bis zum 30. September 2023 für alle von der Gesellschaft betriebenen Verbindungen gebucht werden. Wer bis zum 7. November 2022 bucht, erhält 40 Prozent Ermäßigung und maximale Flexibilität dank der Möglichkeit einer Anzahlung von 10 Prozent und der kostenfreien Stornierung bis zu sieben Tage vor Abreise.</w:t>
                  </w:r>
                </w:p>
                <w:p w:rsidR="006F1985" w:rsidRDefault="006F1985">
                  <w:pPr>
                    <w:autoSpaceDE w:val="0"/>
                    <w:autoSpaceDN w:val="0"/>
                    <w:spacing w:after="240" w:line="360" w:lineRule="auto"/>
                    <w:rPr>
                      <w:rFonts w:ascii="Century Gothic" w:hAnsi="Century Gothic"/>
                    </w:rPr>
                  </w:pPr>
                  <w:r>
                    <w:rPr>
                      <w:rFonts w:ascii="Century Gothic" w:hAnsi="Century Gothic"/>
                    </w:rPr>
                    <w:t xml:space="preserve">Für Buchungen zwischen dem 24. Oktober und dem 7. November 2022 gewährt GNV einen Rabatt von 40 Prozent für alle Reisen von Februar bis einschließlich September 2023 auf allen Strecken außer den Balearen. Damit die Kunden ihre Reise mit mehr Flexibilität und Gelassenheit planen können, garantiert GNV die Möglichkeit, die gebuchte Reise bis zu sieben Tage vor dem Abreisedatum gebührenfrei zu stornieren. Auch in der kommenden Saison wird es möglich sein, die Vorverkaufsoption zu wählen. Diese ermöglicht es Reisenden, bei Buchung eines Tickets zunächst nur zehn Prozent des Gesamtbetrags (einschließlich Steuern) zu bezahlen. Der Kaufvorgang wird 30 Tage vor der Reise abgeschlossen, indem die restlichen 90 Prozent des Betrags über ein Reisebüro, das GNV Contact Center oder online auf der Website </w:t>
                  </w:r>
                  <w:hyperlink r:id="rId6" w:history="1">
                    <w:r>
                      <w:rPr>
                        <w:rStyle w:val="Hyperlink"/>
                        <w:rFonts w:ascii="Century Gothic" w:hAnsi="Century Gothic"/>
                        <w:color w:val="auto"/>
                      </w:rPr>
                      <w:t>www.gnv.it</w:t>
                    </w:r>
                  </w:hyperlink>
                  <w:r>
                    <w:rPr>
                      <w:rFonts w:ascii="Century Gothic" w:hAnsi="Century Gothic"/>
                    </w:rPr>
                    <w:t xml:space="preserve"> bezahlt werden. </w:t>
                  </w:r>
                </w:p>
                <w:p w:rsidR="006F1985" w:rsidRDefault="006F1985">
                  <w:pPr>
                    <w:autoSpaceDE w:val="0"/>
                    <w:autoSpaceDN w:val="0"/>
                    <w:spacing w:after="240" w:line="360" w:lineRule="auto"/>
                    <w:rPr>
                      <w:rFonts w:ascii="Century Gothic" w:hAnsi="Century Gothic"/>
                    </w:rPr>
                  </w:pPr>
                  <w:r>
                    <w:rPr>
                      <w:rFonts w:ascii="Century Gothic" w:hAnsi="Century Gothic"/>
                    </w:rPr>
                    <w:t>GNV freut sich über die gute Zusammenarbeit mit den Reisebüros, die mit einem Anstieg der Buchungen um 37 Prozent im Vergleich zur Sommersaison 2021 im Jahr 2022 wesentlich zum Erfolg des Unternehmens beigetragen haben. Dadurch haben sie sich als grundlegender Partner bestätigt, mit denen die Fährgesellschaft auch weiterhin Strategien und Synergien für das Marktwachstum plant.</w:t>
                  </w:r>
                </w:p>
                <w:p w:rsidR="006F1985" w:rsidRDefault="006F1985">
                  <w:pPr>
                    <w:autoSpaceDE w:val="0"/>
                    <w:autoSpaceDN w:val="0"/>
                    <w:spacing w:after="240" w:line="360" w:lineRule="auto"/>
                    <w:rPr>
                      <w:rFonts w:ascii="Century Gothic" w:hAnsi="Century Gothic"/>
                    </w:rPr>
                  </w:pPr>
                  <w:r>
                    <w:rPr>
                      <w:rFonts w:ascii="Century Gothic" w:hAnsi="Century Gothic"/>
                    </w:rPr>
                    <w:t xml:space="preserve">Daher wird 2023 ein neues Buchungssystem eingeführt, das nicht nur eine einfachere und schnellere Abwicklung gewährleistet, sondern auch viele der von </w:t>
                  </w:r>
                  <w:r>
                    <w:rPr>
                      <w:rFonts w:ascii="Century Gothic" w:hAnsi="Century Gothic"/>
                    </w:rPr>
                    <w:lastRenderedPageBreak/>
                    <w:t>den Reisebüros geäußerten Verbesserungswünsche aufgreifen wird. Ziel ist es, die Beziehungen zum B2B-Sektor weiter voranzutreiben.</w:t>
                  </w:r>
                </w:p>
                <w:p w:rsidR="006F1985" w:rsidRDefault="006F1985">
                  <w:pPr>
                    <w:autoSpaceDE w:val="0"/>
                    <w:autoSpaceDN w:val="0"/>
                    <w:spacing w:line="360" w:lineRule="auto"/>
                    <w:rPr>
                      <w:rFonts w:ascii="Century Gothic" w:hAnsi="Century Gothic"/>
                      <w:b/>
                      <w:bCs/>
                    </w:rPr>
                  </w:pPr>
                  <w:r>
                    <w:rPr>
                      <w:rFonts w:ascii="Century Gothic" w:hAnsi="Century Gothic"/>
                      <w:b/>
                      <w:bCs/>
                    </w:rPr>
                    <w:t>Programmgestaltung für die Saison 2023</w:t>
                  </w:r>
                </w:p>
                <w:p w:rsidR="006F1985" w:rsidRDefault="006F1985">
                  <w:pPr>
                    <w:autoSpaceDE w:val="0"/>
                    <w:autoSpaceDN w:val="0"/>
                    <w:spacing w:after="240" w:line="360" w:lineRule="auto"/>
                    <w:rPr>
                      <w:rFonts w:ascii="Century Gothic" w:hAnsi="Century Gothic"/>
                    </w:rPr>
                  </w:pPr>
                  <w:r>
                    <w:rPr>
                      <w:rFonts w:ascii="Century Gothic" w:hAnsi="Century Gothic"/>
                    </w:rPr>
                    <w:t xml:space="preserve">Nach dem Erfolg der vergangenen Saison wird GNV auch 2023 seinen Routenplan fortsetzen und seine starke Präsenz auf dem italienischen Markt ausbauen: auf Sardinien wird die Gesellschaft mit sechs Abfahrten pro Woche zwischen </w:t>
                  </w:r>
                  <w:proofErr w:type="spellStart"/>
                  <w:r>
                    <w:rPr>
                      <w:rFonts w:ascii="Century Gothic" w:hAnsi="Century Gothic"/>
                    </w:rPr>
                    <w:t>Civitavecchia</w:t>
                  </w:r>
                  <w:proofErr w:type="spellEnd"/>
                  <w:r>
                    <w:rPr>
                      <w:rFonts w:ascii="Century Gothic" w:hAnsi="Century Gothic"/>
                    </w:rPr>
                    <w:t xml:space="preserve"> und </w:t>
                  </w:r>
                  <w:proofErr w:type="spellStart"/>
                  <w:r>
                    <w:rPr>
                      <w:rFonts w:ascii="Century Gothic" w:hAnsi="Century Gothic"/>
                    </w:rPr>
                    <w:t>Olbia</w:t>
                  </w:r>
                  <w:proofErr w:type="spellEnd"/>
                  <w:r>
                    <w:rPr>
                      <w:rFonts w:ascii="Century Gothic" w:hAnsi="Century Gothic"/>
                    </w:rPr>
                    <w:t xml:space="preserve"> präsent sein. Außerdem wird das Angebot mit vier Schiffen auf den Routen Genua-</w:t>
                  </w:r>
                  <w:proofErr w:type="spellStart"/>
                  <w:r>
                    <w:rPr>
                      <w:rFonts w:ascii="Century Gothic" w:hAnsi="Century Gothic"/>
                    </w:rPr>
                    <w:t>Olbia</w:t>
                  </w:r>
                  <w:proofErr w:type="spellEnd"/>
                  <w:r>
                    <w:rPr>
                      <w:rFonts w:ascii="Century Gothic" w:hAnsi="Century Gothic"/>
                    </w:rPr>
                    <w:t xml:space="preserve"> und Genua-Torres und zwei täglichen Abfahrten für beide Linien erweitert. Sizilien wird GNV</w:t>
                  </w:r>
                  <w:r>
                    <w:t xml:space="preserve"> </w:t>
                  </w:r>
                  <w:r>
                    <w:rPr>
                      <w:rFonts w:ascii="Century Gothic" w:hAnsi="Century Gothic"/>
                    </w:rPr>
                    <w:t xml:space="preserve">mit den wichtigsten italienischen Häfen verbinden dank der täglichen Verbindungen zwischen Palermo und Genua/Neapel, der Linien von </w:t>
                  </w:r>
                  <w:proofErr w:type="spellStart"/>
                  <w:r>
                    <w:rPr>
                      <w:rFonts w:ascii="Century Gothic" w:hAnsi="Century Gothic"/>
                    </w:rPr>
                    <w:t>Civitavecchia</w:t>
                  </w:r>
                  <w:proofErr w:type="spellEnd"/>
                  <w:r>
                    <w:rPr>
                      <w:rFonts w:ascii="Century Gothic" w:hAnsi="Century Gothic"/>
                    </w:rPr>
                    <w:t xml:space="preserve"> nach Palermo und Termini </w:t>
                  </w:r>
                  <w:proofErr w:type="spellStart"/>
                  <w:r>
                    <w:rPr>
                      <w:rFonts w:ascii="Century Gothic" w:hAnsi="Century Gothic"/>
                    </w:rPr>
                    <w:t>Imerese</w:t>
                  </w:r>
                  <w:proofErr w:type="spellEnd"/>
                  <w:r>
                    <w:rPr>
                      <w:rFonts w:ascii="Century Gothic" w:hAnsi="Century Gothic"/>
                    </w:rPr>
                    <w:t xml:space="preserve"> sowie der Verbindung Neapel-Termini </w:t>
                  </w:r>
                  <w:proofErr w:type="spellStart"/>
                  <w:r>
                    <w:rPr>
                      <w:rFonts w:ascii="Century Gothic" w:hAnsi="Century Gothic"/>
                    </w:rPr>
                    <w:t>Imerese</w:t>
                  </w:r>
                  <w:proofErr w:type="spellEnd"/>
                  <w:r>
                    <w:rPr>
                      <w:rFonts w:ascii="Century Gothic" w:hAnsi="Century Gothic"/>
                      <w:color w:val="1F497D" w:themeColor="dark2"/>
                    </w:rPr>
                    <w:t>.</w:t>
                  </w:r>
                </w:p>
                <w:p w:rsidR="006F1985" w:rsidRDefault="006F1985">
                  <w:pPr>
                    <w:autoSpaceDE w:val="0"/>
                    <w:autoSpaceDN w:val="0"/>
                    <w:spacing w:after="240" w:line="360" w:lineRule="auto"/>
                    <w:rPr>
                      <w:rFonts w:ascii="Century Gothic" w:hAnsi="Century Gothic"/>
                    </w:rPr>
                  </w:pPr>
                  <w:r>
                    <w:rPr>
                      <w:rFonts w:ascii="Century Gothic" w:hAnsi="Century Gothic"/>
                    </w:rPr>
                    <w:t xml:space="preserve">GNV bestätigt auch seine Präsenz in Spanien, auf den Balearen mit vier Schiffen und täglichen Abfahrten ab/bis Barcelona und Valencia nach Menorca, Palma de Mallorca und Ibiza, wodurch tägliche Verbindungen zu allen Inseln gewährleistet werden. In Marokko wird die italienische Gesellschaft mit sechs Linien von und nach Italien, Spanien und Frankreich vertreten sein. Das Unternehmen bietet somit ein komplettes Netz zu allen wichtigen Mittelmeerhäfen mit zwei und drei wöchentlichen Verbindungen Genua-Tanger, </w:t>
                  </w:r>
                  <w:proofErr w:type="spellStart"/>
                  <w:r>
                    <w:rPr>
                      <w:rFonts w:ascii="Century Gothic" w:hAnsi="Century Gothic"/>
                    </w:rPr>
                    <w:t>Civitavecchia</w:t>
                  </w:r>
                  <w:proofErr w:type="spellEnd"/>
                  <w:r>
                    <w:rPr>
                      <w:rFonts w:ascii="Century Gothic" w:hAnsi="Century Gothic"/>
                    </w:rPr>
                    <w:t>-Tanger, Barcelona-Tanger und Barcelona-</w:t>
                  </w:r>
                  <w:proofErr w:type="spellStart"/>
                  <w:r>
                    <w:rPr>
                      <w:rFonts w:ascii="Century Gothic" w:hAnsi="Century Gothic"/>
                    </w:rPr>
                    <w:t>Nador</w:t>
                  </w:r>
                  <w:proofErr w:type="spellEnd"/>
                  <w:r>
                    <w:rPr>
                      <w:rFonts w:ascii="Century Gothic" w:hAnsi="Century Gothic"/>
                    </w:rPr>
                    <w:t xml:space="preserve">, </w:t>
                  </w:r>
                  <w:proofErr w:type="spellStart"/>
                  <w:r>
                    <w:rPr>
                      <w:rFonts w:ascii="Century Gothic" w:hAnsi="Century Gothic"/>
                    </w:rPr>
                    <w:t>Sète</w:t>
                  </w:r>
                  <w:proofErr w:type="spellEnd"/>
                  <w:r>
                    <w:rPr>
                      <w:rFonts w:ascii="Century Gothic" w:hAnsi="Century Gothic"/>
                    </w:rPr>
                    <w:t xml:space="preserve">-Tanger und </w:t>
                  </w:r>
                  <w:proofErr w:type="spellStart"/>
                  <w:r>
                    <w:rPr>
                      <w:rFonts w:ascii="Century Gothic" w:hAnsi="Century Gothic"/>
                    </w:rPr>
                    <w:t>Sète-Nador</w:t>
                  </w:r>
                  <w:proofErr w:type="spellEnd"/>
                  <w:r>
                    <w:rPr>
                      <w:rFonts w:ascii="Century Gothic" w:hAnsi="Century Gothic"/>
                    </w:rPr>
                    <w:t xml:space="preserve"> sowie der im Sommer neu eingeweihten Linie Almeria-</w:t>
                  </w:r>
                  <w:proofErr w:type="spellStart"/>
                  <w:r>
                    <w:rPr>
                      <w:rFonts w:ascii="Century Gothic" w:hAnsi="Century Gothic"/>
                    </w:rPr>
                    <w:t>Nador</w:t>
                  </w:r>
                  <w:proofErr w:type="spellEnd"/>
                  <w:r>
                    <w:rPr>
                      <w:rFonts w:ascii="Century Gothic" w:hAnsi="Century Gothic"/>
                    </w:rPr>
                    <w:t>.</w:t>
                  </w:r>
                </w:p>
                <w:p w:rsidR="006F1985" w:rsidRDefault="006F1985">
                  <w:pPr>
                    <w:autoSpaceDE w:val="0"/>
                    <w:autoSpaceDN w:val="0"/>
                    <w:spacing w:after="240" w:line="360" w:lineRule="auto"/>
                    <w:rPr>
                      <w:rFonts w:ascii="Century Gothic" w:hAnsi="Century Gothic"/>
                    </w:rPr>
                  </w:pPr>
                  <w:r>
                    <w:rPr>
                      <w:rFonts w:ascii="Century Gothic" w:hAnsi="Century Gothic"/>
                    </w:rPr>
                    <w:t>GNV investiert zudem weiterhin in die tägliche Verbindung nach Albanien auf der Strecke Bari-</w:t>
                  </w:r>
                  <w:proofErr w:type="spellStart"/>
                  <w:r>
                    <w:rPr>
                      <w:rFonts w:ascii="Century Gothic" w:hAnsi="Century Gothic"/>
                    </w:rPr>
                    <w:t>Durrës</w:t>
                  </w:r>
                  <w:proofErr w:type="spellEnd"/>
                  <w:r>
                    <w:rPr>
                      <w:rFonts w:ascii="Century Gothic" w:hAnsi="Century Gothic"/>
                    </w:rPr>
                    <w:t xml:space="preserve">, und auch die Abfahrten von den Häfen Genua, </w:t>
                  </w:r>
                  <w:proofErr w:type="spellStart"/>
                  <w:r>
                    <w:rPr>
                      <w:rFonts w:ascii="Century Gothic" w:hAnsi="Century Gothic"/>
                    </w:rPr>
                    <w:t>Civitavecchia</w:t>
                  </w:r>
                  <w:proofErr w:type="spellEnd"/>
                  <w:r>
                    <w:rPr>
                      <w:rFonts w:ascii="Century Gothic" w:hAnsi="Century Gothic"/>
                    </w:rPr>
                    <w:t xml:space="preserve"> und Palermo nach Tunis sind für 2023 bestätigt. </w:t>
                  </w:r>
                </w:p>
                <w:p w:rsidR="006F1985" w:rsidRDefault="006F1985">
                  <w:pPr>
                    <w:autoSpaceDE w:val="0"/>
                    <w:autoSpaceDN w:val="0"/>
                    <w:spacing w:after="240" w:line="360" w:lineRule="auto"/>
                    <w:rPr>
                      <w:rFonts w:ascii="Century Gothic" w:hAnsi="Century Gothic"/>
                      <w:color w:val="000000"/>
                    </w:rPr>
                  </w:pPr>
                  <w:r>
                    <w:rPr>
                      <w:rFonts w:ascii="Century Gothic" w:hAnsi="Century Gothic"/>
                      <w:color w:val="000000"/>
                    </w:rPr>
                    <w:t>Fahrgäste können in den Reisebüros, an den GNV-</w:t>
                  </w:r>
                  <w:r>
                    <w:rPr>
                      <w:rFonts w:ascii="Century Gothic" w:hAnsi="Century Gothic"/>
                    </w:rPr>
                    <w:t xml:space="preserve">Hafenschaltern, sowie im Contact Center unter der Telefonnummer +49 6996759093 oder auf der </w:t>
                  </w:r>
                  <w:hyperlink r:id="rId7" w:history="1">
                    <w:r>
                      <w:rPr>
                        <w:rStyle w:val="Hyperlink"/>
                        <w:rFonts w:ascii="Century Gothic" w:hAnsi="Century Gothic"/>
                        <w:color w:val="auto"/>
                      </w:rPr>
                      <w:t>GNV Website</w:t>
                    </w:r>
                  </w:hyperlink>
                  <w:r>
                    <w:rPr>
                      <w:rFonts w:ascii="Century Gothic" w:hAnsi="Century Gothic"/>
                    </w:rPr>
                    <w:t xml:space="preserve"> reservieren </w:t>
                  </w:r>
                  <w:r>
                    <w:rPr>
                      <w:rFonts w:ascii="Century Gothic" w:hAnsi="Century Gothic"/>
                      <w:color w:val="000000"/>
                    </w:rPr>
                    <w:t>und buchen.</w:t>
                  </w:r>
                </w:p>
                <w:p w:rsidR="006F1985" w:rsidRDefault="006F1985">
                  <w:pPr>
                    <w:autoSpaceDE w:val="0"/>
                    <w:autoSpaceDN w:val="0"/>
                    <w:spacing w:after="240" w:line="360" w:lineRule="auto"/>
                    <w:rPr>
                      <w:rFonts w:ascii="Century Gothic" w:hAnsi="Century Gothic"/>
                      <w:color w:val="000000"/>
                    </w:rPr>
                  </w:pPr>
                  <w:r>
                    <w:rPr>
                      <w:rFonts w:ascii="Century Gothic" w:hAnsi="Century Gothic"/>
                      <w:color w:val="000000"/>
                    </w:rPr>
                    <w:t>GNV wurde 1992 gegründet und ist heute Teil der MSC-Gruppe. Das Unternehmen ist eine der größten Reedereien, die weltweit im Kabotage- und Passagierverkehr tätig sind: Mit einer Flotte von 25 Schiffen betreibt GNV 31 Linien in sieben Ländern, von und nach Sardinien, Sizilien, Spanien, Frankreich, Albanien, Tunesien, Marokko und Malta.</w:t>
                  </w:r>
                </w:p>
                <w:p w:rsidR="006F1985" w:rsidRDefault="006F1985">
                  <w:pPr>
                    <w:pStyle w:val="StandardWeb"/>
                    <w:spacing w:before="0" w:beforeAutospacing="0" w:after="0" w:afterAutospacing="0" w:line="276" w:lineRule="auto"/>
                    <w:rPr>
                      <w:rFonts w:ascii="Century Gothic" w:hAnsi="Century Gothic"/>
                      <w:b/>
                      <w:bCs/>
                      <w:color w:val="000000"/>
                      <w:sz w:val="18"/>
                      <w:szCs w:val="18"/>
                    </w:rPr>
                  </w:pPr>
                  <w:r>
                    <w:rPr>
                      <w:rFonts w:ascii="Century Gothic" w:hAnsi="Century Gothic"/>
                      <w:b/>
                      <w:bCs/>
                      <w:color w:val="000000"/>
                      <w:sz w:val="18"/>
                      <w:szCs w:val="18"/>
                    </w:rPr>
                    <w:lastRenderedPageBreak/>
                    <w:t>Über GNV:</w:t>
                  </w:r>
                </w:p>
                <w:p w:rsidR="006F1985" w:rsidRDefault="006F1985">
                  <w:pPr>
                    <w:rPr>
                      <w:rFonts w:ascii="Century Gothic" w:hAnsi="Century Gothic"/>
                      <w:sz w:val="18"/>
                      <w:szCs w:val="18"/>
                    </w:rPr>
                  </w:pPr>
                  <w:r>
                    <w:rPr>
                      <w:rFonts w:ascii="Century Gothic" w:hAnsi="Century Gothic"/>
                      <w:color w:val="000000"/>
                      <w:sz w:val="18"/>
                      <w:szCs w:val="18"/>
                    </w:rPr>
                    <w:t xml:space="preserve">Als eines der größten im Mittelmeer tätigen italienischen Güter- und Passagierschifffahrtsunternehmen unterhält Grandi Navi </w:t>
                  </w:r>
                  <w:proofErr w:type="spellStart"/>
                  <w:r>
                    <w:rPr>
                      <w:rFonts w:ascii="Century Gothic" w:hAnsi="Century Gothic"/>
                      <w:color w:val="000000"/>
                      <w:sz w:val="18"/>
                      <w:szCs w:val="18"/>
                    </w:rPr>
                    <w:t>Veloci</w:t>
                  </w:r>
                  <w:proofErr w:type="spellEnd"/>
                  <w:r>
                    <w:rPr>
                      <w:rFonts w:ascii="Century Gothic" w:hAnsi="Century Gothic"/>
                      <w:color w:val="000000"/>
                      <w:sz w:val="18"/>
                      <w:szCs w:val="18"/>
                    </w:rPr>
                    <w:t xml:space="preserve"> eine Flotte von 19 modern ausgestatteten Fährschiffen, die Passagiere auf komfortablem Weg zu den schönsten Sehnsuchtszielen der Mittelmeerregion befördern. So bietet das Unternehmen mit Sitz in Genua Reisenden 24 verschiedene Strecken im Mittelmeer, die das italienische Festland mit Sardinien, Sizilien, Spanien, Tunesien, Marokko, Albanien und Frankreich verbinden. Die vielfältigen Annehmlichkeiten an Bord, der aufmerksame Service sowie die hochwertig ausgestatteten Kabinen machen </w:t>
                  </w:r>
                  <w:r>
                    <w:rPr>
                      <w:rFonts w:ascii="Century Gothic" w:hAnsi="Century Gothic"/>
                      <w:sz w:val="18"/>
                      <w:szCs w:val="18"/>
                    </w:rPr>
                    <w:t>die Reise mit den Fähren von GNV zu einem angenehmen Urlaubserlebnis auf hoher See. Zudem offerieren die Fährschiffe spezielle Kabinen, in denen die Mitnahme von Haustieren erlaubt ist, sowie einen exklusiven Service für die Beförderung von Fahrzeugen.</w:t>
                  </w:r>
                </w:p>
                <w:p w:rsidR="006F1985" w:rsidRDefault="006F1985">
                  <w:pPr>
                    <w:pStyle w:val="Textkrper2"/>
                    <w:spacing w:line="360" w:lineRule="auto"/>
                    <w:rPr>
                      <w:rFonts w:ascii="Century Gothic" w:hAnsi="Century Gothic"/>
                      <w:b/>
                      <w:bCs/>
                      <w:color w:val="auto"/>
                      <w:sz w:val="22"/>
                      <w:szCs w:val="22"/>
                    </w:rPr>
                  </w:pPr>
                </w:p>
                <w:p w:rsidR="006F1985" w:rsidRDefault="006F1985">
                  <w:pPr>
                    <w:autoSpaceDE w:val="0"/>
                    <w:autoSpaceDN w:val="0"/>
                    <w:jc w:val="both"/>
                    <w:rPr>
                      <w:rFonts w:ascii="Century Gothic" w:hAnsi="Century Gothic"/>
                      <w:b/>
                      <w:bCs/>
                      <w:sz w:val="20"/>
                      <w:szCs w:val="20"/>
                    </w:rPr>
                  </w:pPr>
                  <w:r>
                    <w:rPr>
                      <w:rFonts w:ascii="Century Gothic" w:hAnsi="Century Gothic"/>
                      <w:b/>
                      <w:bCs/>
                      <w:sz w:val="20"/>
                      <w:szCs w:val="20"/>
                    </w:rPr>
                    <w:t xml:space="preserve">Pressekontakt: </w:t>
                  </w:r>
                </w:p>
                <w:p w:rsidR="006F1985" w:rsidRDefault="006F1985">
                  <w:pPr>
                    <w:pStyle w:val="Untertitel"/>
                    <w:jc w:val="left"/>
                    <w:rPr>
                      <w:rFonts w:ascii="Century Gothic" w:hAnsi="Century Gothic"/>
                      <w:b w:val="0"/>
                      <w:bCs w:val="0"/>
                    </w:rPr>
                  </w:pPr>
                  <w:r>
                    <w:rPr>
                      <w:noProof/>
                      <w:lang w:eastAsia="de-DE"/>
                    </w:rPr>
                    <w:drawing>
                      <wp:anchor distT="0" distB="0" distL="114300" distR="114300" simplePos="0" relativeHeight="251659264" behindDoc="0" locked="0" layoutInCell="1" allowOverlap="1" wp14:anchorId="44AB1645" wp14:editId="7282418F">
                        <wp:simplePos x="0" y="0"/>
                        <wp:positionH relativeFrom="column">
                          <wp:posOffset>4654550</wp:posOffset>
                        </wp:positionH>
                        <wp:positionV relativeFrom="paragraph">
                          <wp:posOffset>37465</wp:posOffset>
                        </wp:positionV>
                        <wp:extent cx="676275" cy="613410"/>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1341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val="0"/>
                      <w:bCs w:val="0"/>
                    </w:rPr>
                    <w:t>Nicola Schlauderer</w:t>
                  </w:r>
                  <w:r>
                    <w:rPr>
                      <w:rFonts w:ascii="Century Gothic" w:hAnsi="Century Gothic"/>
                      <w:b w:val="0"/>
                      <w:bCs w:val="0"/>
                    </w:rPr>
                    <w:br/>
                    <w:t>uschi liebl pr GmbH, Emil-Geis-Straße 1, 81379 München</w:t>
                  </w:r>
                </w:p>
                <w:p w:rsidR="006F1985" w:rsidRDefault="006F1985">
                  <w:pPr>
                    <w:pStyle w:val="Untertitel"/>
                    <w:jc w:val="left"/>
                    <w:rPr>
                      <w:rFonts w:ascii="Century Gothic" w:hAnsi="Century Gothic"/>
                      <w:b w:val="0"/>
                      <w:bCs w:val="0"/>
                      <w:lang w:val="fr-FR"/>
                    </w:rPr>
                  </w:pPr>
                  <w:proofErr w:type="gramStart"/>
                  <w:r>
                    <w:rPr>
                      <w:rFonts w:ascii="Century Gothic" w:hAnsi="Century Gothic"/>
                      <w:b w:val="0"/>
                      <w:bCs w:val="0"/>
                      <w:lang w:val="fr-FR"/>
                    </w:rPr>
                    <w:t>tel</w:t>
                  </w:r>
                  <w:proofErr w:type="gramEnd"/>
                  <w:r>
                    <w:rPr>
                      <w:rFonts w:ascii="Century Gothic" w:hAnsi="Century Gothic"/>
                      <w:b w:val="0"/>
                      <w:bCs w:val="0"/>
                      <w:lang w:val="fr-FR"/>
                    </w:rPr>
                    <w:t>. +49 89 7240292-0, fax +49 89 7240292-19</w:t>
                  </w:r>
                  <w:r>
                    <w:rPr>
                      <w:rFonts w:ascii="Century Gothic" w:hAnsi="Century Gothic"/>
                      <w:b w:val="0"/>
                      <w:bCs w:val="0"/>
                      <w:lang w:val="fr-FR"/>
                    </w:rPr>
                    <w:br/>
                    <w:t xml:space="preserve">mail: </w:t>
                  </w:r>
                  <w:hyperlink r:id="rId9" w:history="1">
                    <w:r>
                      <w:rPr>
                        <w:rStyle w:val="Hyperlink"/>
                        <w:rFonts w:ascii="Century Gothic" w:hAnsi="Century Gothic"/>
                        <w:b w:val="0"/>
                        <w:bCs w:val="0"/>
                        <w:color w:val="auto"/>
                        <w:lang w:val="fr-FR"/>
                      </w:rPr>
                      <w:t>nis@liebl-pr.de</w:t>
                    </w:r>
                  </w:hyperlink>
                  <w:r w:rsidRPr="006F1985">
                    <w:rPr>
                      <w:rFonts w:ascii="Century Gothic" w:hAnsi="Century Gothic"/>
                      <w:b w:val="0"/>
                      <w:bCs w:val="0"/>
                      <w:lang w:val="fr-FR"/>
                    </w:rPr>
                    <w:t xml:space="preserve"> </w:t>
                  </w:r>
                </w:p>
                <w:p w:rsidR="006F1985" w:rsidRDefault="006F1985">
                  <w:pPr>
                    <w:rPr>
                      <w:rFonts w:ascii="Century Gothic" w:hAnsi="Century Gothic"/>
                      <w:color w:val="000000"/>
                      <w:sz w:val="20"/>
                      <w:szCs w:val="20"/>
                      <w:lang w:val="fr-FR"/>
                    </w:rPr>
                  </w:pPr>
                </w:p>
                <w:p w:rsidR="006F1985" w:rsidRDefault="006F1985">
                  <w:pPr>
                    <w:rPr>
                      <w:rFonts w:ascii="Century Gothic" w:hAnsi="Century Gothic"/>
                      <w:color w:val="000000"/>
                      <w:sz w:val="16"/>
                      <w:szCs w:val="16"/>
                    </w:rPr>
                  </w:pPr>
                  <w:r>
                    <w:rPr>
                      <w:rFonts w:ascii="Century Gothic" w:hAnsi="Century Gothic"/>
                      <w:color w:val="000000"/>
                      <w:sz w:val="16"/>
                      <w:szCs w:val="16"/>
                    </w:rPr>
                    <w:t xml:space="preserve">uschi liebl pr GmbH, </w:t>
                  </w:r>
                  <w:proofErr w:type="spellStart"/>
                  <w:r>
                    <w:rPr>
                      <w:rFonts w:ascii="Century Gothic" w:hAnsi="Century Gothic"/>
                      <w:color w:val="000000"/>
                      <w:sz w:val="16"/>
                      <w:szCs w:val="16"/>
                    </w:rPr>
                    <w:t>emil</w:t>
                  </w:r>
                  <w:proofErr w:type="spellEnd"/>
                  <w:r>
                    <w:rPr>
                      <w:rFonts w:ascii="Century Gothic" w:hAnsi="Century Gothic"/>
                      <w:color w:val="000000"/>
                      <w:sz w:val="16"/>
                      <w:szCs w:val="16"/>
                    </w:rPr>
                    <w:t>-</w:t>
                  </w:r>
                  <w:proofErr w:type="spellStart"/>
                  <w:r>
                    <w:rPr>
                      <w:rFonts w:ascii="Century Gothic" w:hAnsi="Century Gothic"/>
                      <w:color w:val="000000"/>
                      <w:sz w:val="16"/>
                      <w:szCs w:val="16"/>
                    </w:rPr>
                    <w:t>geis</w:t>
                  </w:r>
                  <w:proofErr w:type="spellEnd"/>
                  <w:r>
                    <w:rPr>
                      <w:rFonts w:ascii="Century Gothic" w:hAnsi="Century Gothic"/>
                      <w:color w:val="000000"/>
                      <w:sz w:val="16"/>
                      <w:szCs w:val="16"/>
                    </w:rPr>
                    <w:t xml:space="preserve">-straße 1, 81379 </w:t>
                  </w:r>
                  <w:proofErr w:type="spellStart"/>
                  <w:r>
                    <w:rPr>
                      <w:rFonts w:ascii="Century Gothic" w:hAnsi="Century Gothic"/>
                      <w:color w:val="000000"/>
                      <w:sz w:val="16"/>
                      <w:szCs w:val="16"/>
                    </w:rPr>
                    <w:t>münchen</w:t>
                  </w:r>
                  <w:proofErr w:type="spellEnd"/>
                </w:p>
                <w:p w:rsidR="006F1985" w:rsidRDefault="006F1985">
                  <w:pPr>
                    <w:ind w:right="-4"/>
                    <w:rPr>
                      <w:rFonts w:ascii="Century Gothic" w:hAnsi="Century Gothic"/>
                      <w:color w:val="000000"/>
                      <w:sz w:val="16"/>
                      <w:szCs w:val="16"/>
                    </w:rPr>
                  </w:pPr>
                  <w:r>
                    <w:rPr>
                      <w:rFonts w:ascii="Century Gothic" w:hAnsi="Century Gothic"/>
                      <w:color w:val="000000"/>
                      <w:sz w:val="16"/>
                      <w:szCs w:val="16"/>
                    </w:rPr>
                    <w:t>Sitz der Gesellschaft: München, Geschäftsführende Gesellschafterin: Ursula Liebl-Wickstead</w:t>
                  </w:r>
                </w:p>
                <w:p w:rsidR="006F1985" w:rsidRDefault="006F1985">
                  <w:pPr>
                    <w:ind w:right="-4"/>
                    <w:rPr>
                      <w:rFonts w:ascii="Century Gothic" w:hAnsi="Century Gothic"/>
                      <w:color w:val="000000"/>
                      <w:sz w:val="16"/>
                      <w:szCs w:val="16"/>
                    </w:rPr>
                  </w:pPr>
                  <w:r>
                    <w:rPr>
                      <w:rFonts w:ascii="Century Gothic" w:hAnsi="Century Gothic"/>
                      <w:color w:val="000000"/>
                      <w:sz w:val="16"/>
                      <w:szCs w:val="16"/>
                    </w:rPr>
                    <w:t xml:space="preserve">Amtsgericht München, HRB 234865, </w:t>
                  </w:r>
                  <w:proofErr w:type="spellStart"/>
                  <w:r>
                    <w:rPr>
                      <w:rFonts w:ascii="Century Gothic" w:hAnsi="Century Gothic"/>
                      <w:color w:val="000000"/>
                      <w:sz w:val="16"/>
                      <w:szCs w:val="16"/>
                    </w:rPr>
                    <w:t>USt</w:t>
                  </w:r>
                  <w:proofErr w:type="spellEnd"/>
                  <w:r>
                    <w:rPr>
                      <w:rFonts w:ascii="Century Gothic" w:hAnsi="Century Gothic"/>
                      <w:color w:val="000000"/>
                      <w:sz w:val="16"/>
                      <w:szCs w:val="16"/>
                    </w:rPr>
                    <w:t>-ID DE313008758</w:t>
                  </w:r>
                </w:p>
                <w:p w:rsidR="006F1985" w:rsidRDefault="006F1985">
                  <w:pPr>
                    <w:ind w:right="-4"/>
                    <w:rPr>
                      <w:rFonts w:ascii="Century Gothic" w:hAnsi="Century Gothic"/>
                      <w:b/>
                      <w:bCs/>
                      <w:sz w:val="16"/>
                      <w:szCs w:val="16"/>
                    </w:rPr>
                  </w:pPr>
                </w:p>
                <w:p w:rsidR="006F1985" w:rsidRDefault="006F1985">
                  <w:pPr>
                    <w:ind w:right="-4"/>
                    <w:rPr>
                      <w:rFonts w:ascii="Century Gothic" w:hAnsi="Century Gothic"/>
                      <w:b/>
                      <w:bCs/>
                      <w:sz w:val="16"/>
                      <w:szCs w:val="16"/>
                      <w:lang w:val="en-US"/>
                    </w:rPr>
                  </w:pPr>
                  <w:r>
                    <w:rPr>
                      <w:rFonts w:ascii="Century Gothic" w:hAnsi="Century Gothic"/>
                      <w:b/>
                      <w:bCs/>
                      <w:sz w:val="16"/>
                      <w:szCs w:val="16"/>
                    </w:rPr>
                    <w:t xml:space="preserve">Sie können dem Versand dieser Mitteilungen durch uschi liebl pr jederzeit widersprechen, indem Sie </w:t>
                  </w:r>
                  <w:hyperlink r:id="rId10" w:tooltip="mailto:team@liebl-pr.de?subject=Unsubscribe%20Presseverteiler%20ulpr&#10;blocked::mailto:team@liebl-pr.de?subject=Unsubscribe Pressemeldungen&#10;blocked::mailto:team@liebl-pr.de" w:history="1">
                    <w:r>
                      <w:rPr>
                        <w:rStyle w:val="Hyperlink"/>
                        <w:rFonts w:ascii="Century Gothic" w:hAnsi="Century Gothic"/>
                        <w:b/>
                        <w:bCs/>
                        <w:color w:val="auto"/>
                        <w:sz w:val="16"/>
                        <w:szCs w:val="16"/>
                      </w:rPr>
                      <w:t>hier</w:t>
                    </w:r>
                  </w:hyperlink>
                  <w:r>
                    <w:rPr>
                      <w:rFonts w:ascii="Century Gothic" w:hAnsi="Century Gothic"/>
                      <w:b/>
                      <w:bCs/>
                      <w:sz w:val="16"/>
                      <w:szCs w:val="16"/>
                    </w:rPr>
                    <w:t xml:space="preserve"> klicken.  </w:t>
                  </w:r>
                  <w:r>
                    <w:rPr>
                      <w:rFonts w:ascii="Century Gothic" w:hAnsi="Century Gothic"/>
                      <w:b/>
                      <w:bCs/>
                      <w:color w:val="000000"/>
                      <w:sz w:val="16"/>
                      <w:szCs w:val="16"/>
                    </w:rPr>
                    <w:br/>
                  </w:r>
                  <w:r>
                    <w:rPr>
                      <w:rFonts w:ascii="Century Gothic" w:hAnsi="Century Gothic"/>
                      <w:b/>
                      <w:bCs/>
                      <w:sz w:val="16"/>
                      <w:szCs w:val="16"/>
                      <w:lang w:val="en-US"/>
                    </w:rPr>
                    <w:t xml:space="preserve">Should you wish to unsubscribe from the ulpr mailing list, please </w:t>
                  </w:r>
                  <w:hyperlink r:id="rId11" w:tooltip="mailto:team@liebl-pr.de?subject=Unsubscribe%20ulpr%20media%20mailing%20list&#10;blocked::mailto:team@liebl-pr.de?subject=Unsubscribe Pressemeldungen&#10;blocked::mailto:team@liebl-pr.de" w:history="1">
                    <w:r>
                      <w:rPr>
                        <w:rStyle w:val="Hyperlink"/>
                        <w:rFonts w:ascii="Century Gothic" w:hAnsi="Century Gothic"/>
                        <w:b/>
                        <w:bCs/>
                        <w:color w:val="auto"/>
                        <w:sz w:val="16"/>
                        <w:szCs w:val="16"/>
                        <w:u w:val="none"/>
                        <w:lang w:val="en-US"/>
                      </w:rPr>
                      <w:t xml:space="preserve">click </w:t>
                    </w:r>
                    <w:r>
                      <w:rPr>
                        <w:rStyle w:val="Hyperlink"/>
                        <w:rFonts w:ascii="Century Gothic" w:hAnsi="Century Gothic"/>
                        <w:b/>
                        <w:bCs/>
                        <w:color w:val="auto"/>
                        <w:sz w:val="16"/>
                        <w:szCs w:val="16"/>
                        <w:lang w:val="en-US"/>
                      </w:rPr>
                      <w:t>here</w:t>
                    </w:r>
                  </w:hyperlink>
                  <w:r>
                    <w:rPr>
                      <w:rFonts w:ascii="Century Gothic" w:hAnsi="Century Gothic"/>
                      <w:b/>
                      <w:bCs/>
                      <w:sz w:val="16"/>
                      <w:szCs w:val="16"/>
                      <w:lang w:val="en-US"/>
                    </w:rPr>
                    <w:t xml:space="preserve">. </w:t>
                  </w:r>
                </w:p>
                <w:p w:rsidR="006F1985" w:rsidRDefault="006F1985">
                  <w:pPr>
                    <w:autoSpaceDE w:val="0"/>
                    <w:autoSpaceDN w:val="0"/>
                    <w:ind w:right="-4"/>
                    <w:rPr>
                      <w:rFonts w:ascii="Century Gothic" w:hAnsi="Century Gothic"/>
                      <w:color w:val="000000"/>
                      <w:sz w:val="16"/>
                      <w:szCs w:val="16"/>
                      <w:lang w:val="en-US" w:eastAsia="en-US"/>
                    </w:rPr>
                  </w:pPr>
                </w:p>
                <w:p w:rsidR="006F1985" w:rsidRDefault="006F1985">
                  <w:pPr>
                    <w:ind w:right="-4"/>
                    <w:jc w:val="both"/>
                    <w:rPr>
                      <w:rFonts w:ascii="Century Gothic" w:hAnsi="Century Gothic"/>
                      <w:color w:val="FF0000"/>
                      <w:sz w:val="16"/>
                      <w:szCs w:val="16"/>
                    </w:rPr>
                  </w:pPr>
                  <w:r>
                    <w:rPr>
                      <w:rFonts w:ascii="Century Gothic" w:hAnsi="Century Gothic"/>
                      <w:sz w:val="16"/>
                      <w:szCs w:val="16"/>
                    </w:rPr>
                    <w:t xml:space="preserve">Unsere Datenschutzerklärung </w:t>
                  </w:r>
                  <w:r>
                    <w:rPr>
                      <w:rFonts w:ascii="Century Gothic" w:hAnsi="Century Gothic"/>
                      <w:color w:val="000000"/>
                      <w:sz w:val="16"/>
                      <w:szCs w:val="16"/>
                    </w:rPr>
                    <w:t xml:space="preserve">finden Sie </w:t>
                  </w:r>
                  <w:hyperlink r:id="rId12" w:history="1">
                    <w:r>
                      <w:rPr>
                        <w:rStyle w:val="Hyperlink"/>
                        <w:rFonts w:ascii="Century Gothic" w:hAnsi="Century Gothic"/>
                        <w:color w:val="000000"/>
                        <w:sz w:val="16"/>
                        <w:szCs w:val="16"/>
                      </w:rPr>
                      <w:t>hier</w:t>
                    </w:r>
                  </w:hyperlink>
                  <w:r>
                    <w:rPr>
                      <w:rFonts w:ascii="Century Gothic" w:hAnsi="Century Gothic"/>
                      <w:color w:val="000000"/>
                      <w:sz w:val="16"/>
                      <w:szCs w:val="16"/>
                    </w:rPr>
                    <w:t xml:space="preserve">. / For </w:t>
                  </w:r>
                  <w:proofErr w:type="spellStart"/>
                  <w:r>
                    <w:rPr>
                      <w:rFonts w:ascii="Century Gothic" w:hAnsi="Century Gothic"/>
                      <w:color w:val="000000"/>
                      <w:sz w:val="16"/>
                      <w:szCs w:val="16"/>
                    </w:rPr>
                    <w:t>details</w:t>
                  </w:r>
                  <w:proofErr w:type="spellEnd"/>
                  <w:r>
                    <w:rPr>
                      <w:rFonts w:ascii="Century Gothic" w:hAnsi="Century Gothic"/>
                      <w:color w:val="000000"/>
                      <w:sz w:val="16"/>
                      <w:szCs w:val="16"/>
                    </w:rPr>
                    <w:t xml:space="preserve"> on </w:t>
                  </w:r>
                  <w:proofErr w:type="spellStart"/>
                  <w:r>
                    <w:rPr>
                      <w:rFonts w:ascii="Century Gothic" w:hAnsi="Century Gothic"/>
                      <w:color w:val="000000"/>
                      <w:sz w:val="16"/>
                      <w:szCs w:val="16"/>
                    </w:rPr>
                    <w:t>our</w:t>
                  </w:r>
                  <w:proofErr w:type="spellEnd"/>
                  <w:r>
                    <w:rPr>
                      <w:rFonts w:ascii="Century Gothic" w:hAnsi="Century Gothic"/>
                      <w:color w:val="000000"/>
                      <w:sz w:val="16"/>
                      <w:szCs w:val="16"/>
                    </w:rPr>
                    <w:t xml:space="preserve"> </w:t>
                  </w:r>
                  <w:proofErr w:type="spellStart"/>
                  <w:r>
                    <w:rPr>
                      <w:rFonts w:ascii="Century Gothic" w:hAnsi="Century Gothic"/>
                      <w:color w:val="000000"/>
                      <w:sz w:val="16"/>
                      <w:szCs w:val="16"/>
                    </w:rPr>
                    <w:t>privacy</w:t>
                  </w:r>
                  <w:proofErr w:type="spellEnd"/>
                  <w:r>
                    <w:rPr>
                      <w:rFonts w:ascii="Century Gothic" w:hAnsi="Century Gothic"/>
                      <w:color w:val="000000"/>
                      <w:sz w:val="16"/>
                      <w:szCs w:val="16"/>
                    </w:rPr>
                    <w:t xml:space="preserve"> </w:t>
                  </w:r>
                  <w:proofErr w:type="spellStart"/>
                  <w:r>
                    <w:rPr>
                      <w:rFonts w:ascii="Century Gothic" w:hAnsi="Century Gothic"/>
                      <w:color w:val="000000"/>
                      <w:sz w:val="16"/>
                      <w:szCs w:val="16"/>
                    </w:rPr>
                    <w:t>policy</w:t>
                  </w:r>
                  <w:proofErr w:type="spellEnd"/>
                  <w:r>
                    <w:rPr>
                      <w:rFonts w:ascii="Century Gothic" w:hAnsi="Century Gothic"/>
                      <w:color w:val="000000"/>
                      <w:sz w:val="16"/>
                      <w:szCs w:val="16"/>
                    </w:rPr>
                    <w:t xml:space="preserve">, </w:t>
                  </w:r>
                  <w:proofErr w:type="spellStart"/>
                  <w:r>
                    <w:rPr>
                      <w:rFonts w:ascii="Century Gothic" w:hAnsi="Century Gothic"/>
                      <w:color w:val="000000"/>
                      <w:sz w:val="16"/>
                      <w:szCs w:val="16"/>
                    </w:rPr>
                    <w:t>see</w:t>
                  </w:r>
                  <w:proofErr w:type="spellEnd"/>
                  <w:r>
                    <w:rPr>
                      <w:rFonts w:ascii="Century Gothic" w:hAnsi="Century Gothic"/>
                      <w:color w:val="000000"/>
                      <w:sz w:val="16"/>
                      <w:szCs w:val="16"/>
                    </w:rPr>
                    <w:t xml:space="preserve"> </w:t>
                  </w:r>
                  <w:hyperlink r:id="rId13" w:history="1">
                    <w:proofErr w:type="spellStart"/>
                    <w:r>
                      <w:rPr>
                        <w:rStyle w:val="Hyperlink"/>
                        <w:rFonts w:ascii="Century Gothic" w:hAnsi="Century Gothic"/>
                        <w:color w:val="auto"/>
                        <w:sz w:val="16"/>
                        <w:szCs w:val="16"/>
                      </w:rPr>
                      <w:t>here</w:t>
                    </w:r>
                    <w:proofErr w:type="spellEnd"/>
                  </w:hyperlink>
                  <w:r>
                    <w:rPr>
                      <w:rFonts w:ascii="Century Gothic" w:hAnsi="Century Gothic"/>
                      <w:sz w:val="16"/>
                      <w:szCs w:val="16"/>
                    </w:rPr>
                    <w:t>.</w:t>
                  </w:r>
                </w:p>
                <w:p w:rsidR="006F1985" w:rsidRDefault="006F1985">
                  <w:pPr>
                    <w:ind w:right="-4"/>
                    <w:jc w:val="both"/>
                    <w:rPr>
                      <w:rFonts w:ascii="Century Gothic" w:hAnsi="Century Gothic"/>
                      <w:b/>
                      <w:bCs/>
                      <w:sz w:val="16"/>
                      <w:szCs w:val="16"/>
                    </w:rPr>
                  </w:pPr>
                </w:p>
                <w:p w:rsidR="006F1985" w:rsidRDefault="006F1985">
                  <w:pPr>
                    <w:ind w:right="-4"/>
                    <w:jc w:val="both"/>
                    <w:rPr>
                      <w:rFonts w:ascii="Century Gothic" w:hAnsi="Century Gothic"/>
                      <w:sz w:val="16"/>
                      <w:szCs w:val="16"/>
                    </w:rPr>
                  </w:pPr>
                  <w:r>
                    <w:rPr>
                      <w:rFonts w:ascii="Century Gothic" w:hAnsi="Century Gothic"/>
                      <w:sz w:val="16"/>
                      <w:szCs w:val="16"/>
                    </w:rPr>
                    <w:t xml:space="preserve">Der Inhalt dieser E-Mail ist vertraulich und ausschließlich für den bezeichneten Adressaten bestimmt. Wenn Sie nicht der vorgesehene Adressat dieser E-Mail oder dessen Vertreter sein sollten, so beachten Sie bitte, dass jede Form der Kenntnisnahme, Veröffentlichung, Vervielfältigung oder Weitergabe des Inhalts dieser E-Mail unzulässig ist. Wir bitten Sie, sich in diesem Fall mit dem Absender der E-Mail in Verbindung zu setzen. </w:t>
                  </w:r>
                </w:p>
                <w:p w:rsidR="006F1985" w:rsidRDefault="006F1985">
                  <w:pPr>
                    <w:ind w:left="770" w:right="634"/>
                    <w:jc w:val="both"/>
                    <w:rPr>
                      <w:rFonts w:ascii="Century Gothic" w:hAnsi="Century Gothic"/>
                      <w:sz w:val="16"/>
                      <w:szCs w:val="16"/>
                    </w:rPr>
                  </w:pPr>
                </w:p>
                <w:p w:rsidR="006F1985" w:rsidRDefault="006F1985">
                  <w:pPr>
                    <w:jc w:val="both"/>
                    <w:rPr>
                      <w:rFonts w:ascii="Century Gothic" w:hAnsi="Century Gothic"/>
                      <w:b/>
                      <w:bCs/>
                      <w:sz w:val="20"/>
                      <w:szCs w:val="20"/>
                      <w:lang w:val="en-GB"/>
                    </w:rPr>
                  </w:pPr>
                  <w:r>
                    <w:rPr>
                      <w:rFonts w:ascii="Century Gothic" w:hAnsi="Century Gothic"/>
                      <w:sz w:val="16"/>
                      <w:szCs w:val="16"/>
                      <w:lang w:val="en-GB"/>
                    </w:rPr>
                    <w:t>This electronic message transmission contains information that may be proprietary, confidential and/or privileged. The information is intended only for the use of the individual(s) or entity named above. If you are not the intended recipient, be aware that any disclosure, copying, distribution or use of the contents of this information is prohibited. If you have received this electronic transmission in error, please notify the sender immediately.</w:t>
                  </w:r>
                </w:p>
              </w:tc>
            </w:tr>
          </w:tbl>
          <w:p w:rsidR="006F1985" w:rsidRPr="006F1985" w:rsidRDefault="006F1985">
            <w:pPr>
              <w:rPr>
                <w:rFonts w:ascii="Times New Roman" w:eastAsia="Times New Roman" w:hAnsi="Times New Roman" w:cs="Times New Roman"/>
                <w:sz w:val="20"/>
                <w:szCs w:val="20"/>
                <w:lang w:val="en-US"/>
              </w:rPr>
            </w:pPr>
          </w:p>
        </w:tc>
      </w:tr>
    </w:tbl>
    <w:p w:rsidR="006F1985" w:rsidRDefault="006F1985" w:rsidP="006F1985">
      <w:pPr>
        <w:rPr>
          <w:rFonts w:ascii="Times New Roman" w:hAnsi="Times New Roman" w:cs="Times New Roman"/>
          <w:sz w:val="20"/>
          <w:szCs w:val="20"/>
          <w:lang w:val="en-GB"/>
        </w:rPr>
      </w:pPr>
    </w:p>
    <w:p w:rsidR="006F1985" w:rsidRDefault="006F1985" w:rsidP="006F1985">
      <w:pPr>
        <w:rPr>
          <w:rFonts w:ascii="Times New Roman" w:hAnsi="Times New Roman" w:cs="Times New Roman"/>
          <w:sz w:val="24"/>
          <w:szCs w:val="24"/>
          <w:lang w:val="en-GB"/>
        </w:rPr>
      </w:pPr>
    </w:p>
    <w:p w:rsidR="006F1985" w:rsidRDefault="006F1985" w:rsidP="006F1985">
      <w:pPr>
        <w:rPr>
          <w:rFonts w:ascii="Times New Roman" w:hAnsi="Times New Roman" w:cs="Times New Roman"/>
          <w:sz w:val="24"/>
          <w:szCs w:val="24"/>
          <w:lang w:val="en-GB"/>
        </w:rPr>
      </w:pPr>
    </w:p>
    <w:p w:rsidR="006F1985" w:rsidRDefault="006F1985" w:rsidP="006F1985">
      <w:pPr>
        <w:rPr>
          <w:lang w:val="en-GB"/>
        </w:rPr>
      </w:pPr>
    </w:p>
    <w:bookmarkEnd w:id="1"/>
    <w:p w:rsidR="006F1985" w:rsidRDefault="006F1985" w:rsidP="006F1985">
      <w:pPr>
        <w:rPr>
          <w:lang w:val="en-US"/>
        </w:rPr>
      </w:pPr>
    </w:p>
    <w:p w:rsidR="00DB1F4C" w:rsidRPr="006F1985" w:rsidRDefault="00DB1F4C">
      <w:pPr>
        <w:rPr>
          <w:lang w:val="en-US"/>
        </w:rPr>
      </w:pPr>
    </w:p>
    <w:sectPr w:rsidR="00DB1F4C" w:rsidRPr="006F19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985"/>
    <w:rsid w:val="006F1985"/>
    <w:rsid w:val="00DB1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1985"/>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F1985"/>
    <w:rPr>
      <w:color w:val="0000FF"/>
      <w:u w:val="single"/>
    </w:rPr>
  </w:style>
  <w:style w:type="paragraph" w:styleId="StandardWeb">
    <w:name w:val="Normal (Web)"/>
    <w:basedOn w:val="Standard"/>
    <w:uiPriority w:val="99"/>
    <w:semiHidden/>
    <w:unhideWhenUsed/>
    <w:rsid w:val="006F1985"/>
    <w:pPr>
      <w:spacing w:before="100" w:beforeAutospacing="1" w:after="100" w:afterAutospacing="1"/>
    </w:pPr>
    <w:rPr>
      <w:rFonts w:ascii="Times New Roman" w:hAnsi="Times New Roman" w:cs="Times New Roman"/>
      <w:sz w:val="24"/>
      <w:szCs w:val="24"/>
    </w:rPr>
  </w:style>
  <w:style w:type="paragraph" w:styleId="Textkrper">
    <w:name w:val="Body Text"/>
    <w:basedOn w:val="Standard"/>
    <w:link w:val="TextkrperZchn"/>
    <w:uiPriority w:val="99"/>
    <w:semiHidden/>
    <w:unhideWhenUsed/>
    <w:rsid w:val="006F1985"/>
    <w:pPr>
      <w:spacing w:after="120"/>
    </w:pPr>
  </w:style>
  <w:style w:type="character" w:customStyle="1" w:styleId="TextkrperZchn">
    <w:name w:val="Textkörper Zchn"/>
    <w:basedOn w:val="Absatz-Standardschriftart"/>
    <w:link w:val="Textkrper"/>
    <w:uiPriority w:val="99"/>
    <w:semiHidden/>
    <w:rsid w:val="006F1985"/>
    <w:rPr>
      <w:rFonts w:ascii="Calibri" w:hAnsi="Calibri" w:cs="Calibri"/>
      <w:lang w:eastAsia="de-DE"/>
    </w:rPr>
  </w:style>
  <w:style w:type="paragraph" w:styleId="Untertitel">
    <w:name w:val="Subtitle"/>
    <w:basedOn w:val="Standard"/>
    <w:link w:val="UntertitelZchn"/>
    <w:uiPriority w:val="99"/>
    <w:qFormat/>
    <w:rsid w:val="006F1985"/>
    <w:pPr>
      <w:jc w:val="both"/>
    </w:pPr>
    <w:rPr>
      <w:rFonts w:ascii="Times" w:hAnsi="Times" w:cs="Times"/>
      <w:b/>
      <w:bCs/>
      <w:sz w:val="20"/>
      <w:szCs w:val="20"/>
      <w:lang w:eastAsia="ar-SA"/>
    </w:rPr>
  </w:style>
  <w:style w:type="character" w:customStyle="1" w:styleId="UntertitelZchn">
    <w:name w:val="Untertitel Zchn"/>
    <w:basedOn w:val="Absatz-Standardschriftart"/>
    <w:link w:val="Untertitel"/>
    <w:uiPriority w:val="99"/>
    <w:rsid w:val="006F1985"/>
    <w:rPr>
      <w:rFonts w:ascii="Times" w:hAnsi="Times" w:cs="Times"/>
      <w:b/>
      <w:bCs/>
      <w:sz w:val="20"/>
      <w:szCs w:val="20"/>
      <w:lang w:eastAsia="ar-SA"/>
    </w:rPr>
  </w:style>
  <w:style w:type="paragraph" w:styleId="Textkrper2">
    <w:name w:val="Body Text 2"/>
    <w:basedOn w:val="Standard"/>
    <w:link w:val="Textkrper2Zchn"/>
    <w:uiPriority w:val="99"/>
    <w:semiHidden/>
    <w:unhideWhenUsed/>
    <w:rsid w:val="006F1985"/>
    <w:pPr>
      <w:jc w:val="both"/>
    </w:pPr>
    <w:rPr>
      <w:rFonts w:ascii="Arial" w:hAnsi="Arial" w:cs="Arial"/>
      <w:color w:val="000000"/>
      <w:sz w:val="32"/>
      <w:szCs w:val="32"/>
    </w:rPr>
  </w:style>
  <w:style w:type="character" w:customStyle="1" w:styleId="Textkrper2Zchn">
    <w:name w:val="Textkörper 2 Zchn"/>
    <w:basedOn w:val="Absatz-Standardschriftart"/>
    <w:link w:val="Textkrper2"/>
    <w:uiPriority w:val="99"/>
    <w:semiHidden/>
    <w:rsid w:val="006F1985"/>
    <w:rPr>
      <w:rFonts w:ascii="Arial" w:hAnsi="Arial" w:cs="Arial"/>
      <w:color w:val="000000"/>
      <w:sz w:val="32"/>
      <w:szCs w:val="32"/>
      <w:lang w:eastAsia="de-DE"/>
    </w:rPr>
  </w:style>
  <w:style w:type="paragraph" w:styleId="Sprechblasentext">
    <w:name w:val="Balloon Text"/>
    <w:basedOn w:val="Standard"/>
    <w:link w:val="SprechblasentextZchn"/>
    <w:uiPriority w:val="99"/>
    <w:semiHidden/>
    <w:unhideWhenUsed/>
    <w:rsid w:val="006F198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985"/>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1985"/>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F1985"/>
    <w:rPr>
      <w:color w:val="0000FF"/>
      <w:u w:val="single"/>
    </w:rPr>
  </w:style>
  <w:style w:type="paragraph" w:styleId="StandardWeb">
    <w:name w:val="Normal (Web)"/>
    <w:basedOn w:val="Standard"/>
    <w:uiPriority w:val="99"/>
    <w:semiHidden/>
    <w:unhideWhenUsed/>
    <w:rsid w:val="006F1985"/>
    <w:pPr>
      <w:spacing w:before="100" w:beforeAutospacing="1" w:after="100" w:afterAutospacing="1"/>
    </w:pPr>
    <w:rPr>
      <w:rFonts w:ascii="Times New Roman" w:hAnsi="Times New Roman" w:cs="Times New Roman"/>
      <w:sz w:val="24"/>
      <w:szCs w:val="24"/>
    </w:rPr>
  </w:style>
  <w:style w:type="paragraph" w:styleId="Textkrper">
    <w:name w:val="Body Text"/>
    <w:basedOn w:val="Standard"/>
    <w:link w:val="TextkrperZchn"/>
    <w:uiPriority w:val="99"/>
    <w:semiHidden/>
    <w:unhideWhenUsed/>
    <w:rsid w:val="006F1985"/>
    <w:pPr>
      <w:spacing w:after="120"/>
    </w:pPr>
  </w:style>
  <w:style w:type="character" w:customStyle="1" w:styleId="TextkrperZchn">
    <w:name w:val="Textkörper Zchn"/>
    <w:basedOn w:val="Absatz-Standardschriftart"/>
    <w:link w:val="Textkrper"/>
    <w:uiPriority w:val="99"/>
    <w:semiHidden/>
    <w:rsid w:val="006F1985"/>
    <w:rPr>
      <w:rFonts w:ascii="Calibri" w:hAnsi="Calibri" w:cs="Calibri"/>
      <w:lang w:eastAsia="de-DE"/>
    </w:rPr>
  </w:style>
  <w:style w:type="paragraph" w:styleId="Untertitel">
    <w:name w:val="Subtitle"/>
    <w:basedOn w:val="Standard"/>
    <w:link w:val="UntertitelZchn"/>
    <w:uiPriority w:val="99"/>
    <w:qFormat/>
    <w:rsid w:val="006F1985"/>
    <w:pPr>
      <w:jc w:val="both"/>
    </w:pPr>
    <w:rPr>
      <w:rFonts w:ascii="Times" w:hAnsi="Times" w:cs="Times"/>
      <w:b/>
      <w:bCs/>
      <w:sz w:val="20"/>
      <w:szCs w:val="20"/>
      <w:lang w:eastAsia="ar-SA"/>
    </w:rPr>
  </w:style>
  <w:style w:type="character" w:customStyle="1" w:styleId="UntertitelZchn">
    <w:name w:val="Untertitel Zchn"/>
    <w:basedOn w:val="Absatz-Standardschriftart"/>
    <w:link w:val="Untertitel"/>
    <w:uiPriority w:val="99"/>
    <w:rsid w:val="006F1985"/>
    <w:rPr>
      <w:rFonts w:ascii="Times" w:hAnsi="Times" w:cs="Times"/>
      <w:b/>
      <w:bCs/>
      <w:sz w:val="20"/>
      <w:szCs w:val="20"/>
      <w:lang w:eastAsia="ar-SA"/>
    </w:rPr>
  </w:style>
  <w:style w:type="paragraph" w:styleId="Textkrper2">
    <w:name w:val="Body Text 2"/>
    <w:basedOn w:val="Standard"/>
    <w:link w:val="Textkrper2Zchn"/>
    <w:uiPriority w:val="99"/>
    <w:semiHidden/>
    <w:unhideWhenUsed/>
    <w:rsid w:val="006F1985"/>
    <w:pPr>
      <w:jc w:val="both"/>
    </w:pPr>
    <w:rPr>
      <w:rFonts w:ascii="Arial" w:hAnsi="Arial" w:cs="Arial"/>
      <w:color w:val="000000"/>
      <w:sz w:val="32"/>
      <w:szCs w:val="32"/>
    </w:rPr>
  </w:style>
  <w:style w:type="character" w:customStyle="1" w:styleId="Textkrper2Zchn">
    <w:name w:val="Textkörper 2 Zchn"/>
    <w:basedOn w:val="Absatz-Standardschriftart"/>
    <w:link w:val="Textkrper2"/>
    <w:uiPriority w:val="99"/>
    <w:semiHidden/>
    <w:rsid w:val="006F1985"/>
    <w:rPr>
      <w:rFonts w:ascii="Arial" w:hAnsi="Arial" w:cs="Arial"/>
      <w:color w:val="000000"/>
      <w:sz w:val="32"/>
      <w:szCs w:val="32"/>
      <w:lang w:eastAsia="de-DE"/>
    </w:rPr>
  </w:style>
  <w:style w:type="paragraph" w:styleId="Sprechblasentext">
    <w:name w:val="Balloon Text"/>
    <w:basedOn w:val="Standard"/>
    <w:link w:val="SprechblasentextZchn"/>
    <w:uiPriority w:val="99"/>
    <w:semiHidden/>
    <w:unhideWhenUsed/>
    <w:rsid w:val="006F198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985"/>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13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iebl-pr.de/english/disclaimer/index.html" TargetMode="External"/><Relationship Id="rId3" Type="http://schemas.openxmlformats.org/officeDocument/2006/relationships/settings" Target="settings.xml"/><Relationship Id="rId7" Type="http://schemas.openxmlformats.org/officeDocument/2006/relationships/hyperlink" Target="http://www.gnv.it" TargetMode="External"/><Relationship Id="rId12" Type="http://schemas.openxmlformats.org/officeDocument/2006/relationships/hyperlink" Target="http://www.liebl-pr.de/deutsch/datenschutz/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www.gnv.it%20" TargetMode="External"/><Relationship Id="rId11" Type="http://schemas.openxmlformats.org/officeDocument/2006/relationships/hyperlink" Target="mailto:unsubscribe@liebl-pr.de?subject=Unsubscribe%20ulpr%20media%20mailing%20lis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unsubscribe@liebl-pr.de?subject=Unsubscribe%20Presseverteiler%20ulpr" TargetMode="External"/><Relationship Id="rId4" Type="http://schemas.openxmlformats.org/officeDocument/2006/relationships/webSettings" Target="webSettings.xml"/><Relationship Id="rId9" Type="http://schemas.openxmlformats.org/officeDocument/2006/relationships/hyperlink" Target="mailto:nis@liebl-pr.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6374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Fritsche</dc:creator>
  <cp:lastModifiedBy>Hannah Fritsche</cp:lastModifiedBy>
  <cp:revision>1</cp:revision>
  <dcterms:created xsi:type="dcterms:W3CDTF">2022-10-17T08:38:00Z</dcterms:created>
  <dcterms:modified xsi:type="dcterms:W3CDTF">2022-10-17T08:38:00Z</dcterms:modified>
</cp:coreProperties>
</file>