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4CB46" w14:textId="5481CFE4" w:rsidR="001A7FEF" w:rsidRDefault="001A7FEF" w:rsidP="001A7FEF">
      <w:r>
        <w:rPr>
          <w:noProof/>
        </w:rPr>
        <w:drawing>
          <wp:anchor distT="0" distB="0" distL="114300" distR="114300" simplePos="0" relativeHeight="251656704" behindDoc="1" locked="1" layoutInCell="1" allowOverlap="0" wp14:anchorId="2826A010" wp14:editId="5B46FC19">
            <wp:simplePos x="0" y="0"/>
            <wp:positionH relativeFrom="column">
              <wp:posOffset>-899795</wp:posOffset>
            </wp:positionH>
            <wp:positionV relativeFrom="page">
              <wp:posOffset>0</wp:posOffset>
            </wp:positionV>
            <wp:extent cx="7672705" cy="1571625"/>
            <wp:effectExtent l="0" t="0" r="4445" b="9525"/>
            <wp:wrapTopAndBottom/>
            <wp:docPr id="88628569" name="Grafik 6"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8569" name="Grafik 6"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2705" cy="15716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1A7FEF" w:rsidRPr="001A7FEF" w14:paraId="354F862E" w14:textId="77777777" w:rsidTr="001A7FEF">
        <w:trPr>
          <w:jc w:val="center"/>
        </w:trPr>
        <w:tc>
          <w:tcPr>
            <w:tcW w:w="9819" w:type="dxa"/>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8856"/>
            </w:tblGrid>
            <w:tr w:rsidR="001A7FEF" w:rsidRPr="001A7FEF" w14:paraId="12D0F850" w14:textId="77777777">
              <w:tc>
                <w:tcPr>
                  <w:tcW w:w="9819" w:type="dxa"/>
                  <w:tcMar>
                    <w:top w:w="0" w:type="dxa"/>
                    <w:left w:w="108" w:type="dxa"/>
                    <w:bottom w:w="0" w:type="dxa"/>
                    <w:right w:w="108" w:type="dxa"/>
                  </w:tcMar>
                </w:tcPr>
                <w:p w14:paraId="4CF72135" w14:textId="77777777" w:rsidR="001A7FEF" w:rsidRDefault="001A7FEF">
                  <w:pPr>
                    <w:pStyle w:val="Textkrper2"/>
                    <w:spacing w:line="360" w:lineRule="auto"/>
                    <w:rPr>
                      <w:rFonts w:ascii="Century Gothic" w:hAnsi="Century Gothic"/>
                      <w:b/>
                      <w:bCs/>
                      <w:color w:val="auto"/>
                      <w:sz w:val="22"/>
                      <w:szCs w:val="22"/>
                    </w:rPr>
                  </w:pPr>
                  <w:bookmarkStart w:id="2" w:name="_Hlk498960910"/>
                  <w:bookmarkEnd w:id="2"/>
                </w:p>
                <w:p w14:paraId="3FC1D3DB" w14:textId="67F68B97" w:rsidR="001A7FEF" w:rsidRDefault="001A7FEF">
                  <w:pPr>
                    <w:pStyle w:val="Textkrper2"/>
                    <w:spacing w:line="360" w:lineRule="auto"/>
                    <w:rPr>
                      <w:rFonts w:ascii="Century Gothic" w:hAnsi="Century Gothic"/>
                      <w:b/>
                      <w:bCs/>
                      <w:color w:val="auto"/>
                      <w:sz w:val="22"/>
                      <w:szCs w:val="22"/>
                    </w:rPr>
                  </w:pPr>
                  <w:r>
                    <w:rPr>
                      <w:noProof/>
                    </w:rPr>
                    <w:drawing>
                      <wp:anchor distT="0" distB="0" distL="114300" distR="114300" simplePos="0" relativeHeight="251657728" behindDoc="0" locked="0" layoutInCell="1" allowOverlap="1" wp14:anchorId="6CD75CE0" wp14:editId="4D423A46">
                        <wp:simplePos x="0" y="0"/>
                        <wp:positionH relativeFrom="column">
                          <wp:posOffset>-42545</wp:posOffset>
                        </wp:positionH>
                        <wp:positionV relativeFrom="paragraph">
                          <wp:posOffset>194310</wp:posOffset>
                        </wp:positionV>
                        <wp:extent cx="5760720" cy="17780"/>
                        <wp:effectExtent l="0" t="0" r="0" b="0"/>
                        <wp:wrapNone/>
                        <wp:docPr id="199583139"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rader Verbinder 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77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auto"/>
                      <w:sz w:val="22"/>
                      <w:szCs w:val="22"/>
                    </w:rPr>
                    <w:t>Pressemitteilung uschi liebl pr</w:t>
                  </w:r>
                </w:p>
                <w:p w14:paraId="09E95E17" w14:textId="77777777" w:rsidR="001A7FEF" w:rsidRDefault="001A7FEF">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 xml:space="preserve">29. Mai 2024 </w:t>
                  </w:r>
                </w:p>
                <w:p w14:paraId="6E224340" w14:textId="77777777" w:rsidR="001A7FEF" w:rsidRDefault="001A7FEF">
                  <w:pPr>
                    <w:rPr>
                      <w:rFonts w:ascii="Arial" w:hAnsi="Arial" w:cs="Arial"/>
                      <w:b/>
                      <w:bCs/>
                      <w:sz w:val="20"/>
                      <w:szCs w:val="20"/>
                    </w:rPr>
                  </w:pPr>
                </w:p>
                <w:p w14:paraId="337AD38E" w14:textId="1FA54449" w:rsidR="001A7FEF" w:rsidRPr="001A7FEF" w:rsidRDefault="001A7FEF">
                  <w:pPr>
                    <w:pStyle w:val="Untertitel"/>
                    <w:spacing w:line="360" w:lineRule="auto"/>
                    <w:jc w:val="center"/>
                    <w:rPr>
                      <w:rFonts w:ascii="Century Gothic" w:eastAsiaTheme="minorHAnsi" w:hAnsi="Century Gothic" w:cs="Calibri"/>
                      <w:b/>
                      <w:bCs/>
                      <w:color w:val="auto"/>
                      <w:spacing w:val="0"/>
                      <w:sz w:val="24"/>
                      <w:szCs w:val="24"/>
                      <w:lang w:eastAsia="ar-SA"/>
                    </w:rPr>
                  </w:pPr>
                  <w:r w:rsidRPr="001A7FEF">
                    <w:rPr>
                      <w:rFonts w:ascii="Century Gothic" w:eastAsiaTheme="minorHAnsi" w:hAnsi="Century Gothic" w:cs="Calibri"/>
                      <w:b/>
                      <w:bCs/>
                      <w:color w:val="auto"/>
                      <w:spacing w:val="0"/>
                      <w:sz w:val="24"/>
                      <w:szCs w:val="24"/>
                      <w:lang w:eastAsia="ar-SA"/>
                    </w:rPr>
                    <w:t xml:space="preserve">Cashback-Rabatte für </w:t>
                  </w:r>
                  <w:r w:rsidR="00AD2213" w:rsidRPr="001A7FEF">
                    <w:rPr>
                      <w:rFonts w:ascii="Century Gothic" w:eastAsiaTheme="minorHAnsi" w:hAnsi="Century Gothic" w:cs="Calibri"/>
                      <w:b/>
                      <w:bCs/>
                      <w:color w:val="auto"/>
                      <w:spacing w:val="0"/>
                      <w:sz w:val="24"/>
                      <w:szCs w:val="24"/>
                      <w:lang w:eastAsia="ar-SA"/>
                    </w:rPr>
                    <w:t>GNV-Stammkunden</w:t>
                  </w:r>
                </w:p>
                <w:p w14:paraId="0A12B83E" w14:textId="77777777" w:rsidR="001A7FEF" w:rsidRDefault="001A7FEF">
                  <w:pPr>
                    <w:pStyle w:val="Textkrper"/>
                    <w:spacing w:after="240" w:line="360" w:lineRule="auto"/>
                    <w:jc w:val="center"/>
                    <w:rPr>
                      <w:rFonts w:ascii="Century Gothic" w:hAnsi="Century Gothic"/>
                      <w:b/>
                      <w:bCs/>
                      <w:sz w:val="28"/>
                      <w:szCs w:val="28"/>
                      <w:lang w:eastAsia="ar-SA"/>
                    </w:rPr>
                  </w:pPr>
                  <w:r>
                    <w:rPr>
                      <w:rFonts w:ascii="Century Gothic" w:hAnsi="Century Gothic"/>
                      <w:b/>
                      <w:bCs/>
                      <w:sz w:val="28"/>
                      <w:szCs w:val="28"/>
                      <w:lang w:eastAsia="ar-SA"/>
                    </w:rPr>
                    <w:t>Neue Aktion beim Treueprogramm myGNV</w:t>
                  </w:r>
                </w:p>
                <w:p w14:paraId="0B32EB35" w14:textId="77777777" w:rsidR="001A7FEF" w:rsidRDefault="001A7FEF">
                  <w:pPr>
                    <w:autoSpaceDE w:val="0"/>
                    <w:autoSpaceDN w:val="0"/>
                    <w:spacing w:after="240" w:line="360" w:lineRule="auto"/>
                    <w:rPr>
                      <w:rFonts w:ascii="Century Gothic" w:hAnsi="Century Gothic"/>
                      <w:b/>
                      <w:bCs/>
                    </w:rPr>
                  </w:pPr>
                  <w:r>
                    <w:rPr>
                      <w:rFonts w:ascii="Century Gothic" w:hAnsi="Century Gothic"/>
                      <w:b/>
                      <w:bCs/>
                    </w:rPr>
                    <w:t xml:space="preserve">Das italienische Fährunternehmen Grandi Navi Veloci kündigt eine Neuerung bei seinem Treueprogramm an: Die Cashback-Rabatte erhöhen sich von 2,5 Prozent auf 20 Prozent. GNV möchte sich auf diese Art bei den treuen Kunden bedanken und die Bindung zu den Passagieren stärken. Weitere Aktionen erwarten Gäste an Bord in den Restaurants und Geschäften. </w:t>
                  </w:r>
                </w:p>
                <w:p w14:paraId="3B760B13" w14:textId="223959F2" w:rsidR="001A7FEF" w:rsidRDefault="001A7FEF">
                  <w:pPr>
                    <w:autoSpaceDE w:val="0"/>
                    <w:autoSpaceDN w:val="0"/>
                    <w:spacing w:after="240" w:line="360" w:lineRule="auto"/>
                    <w:rPr>
                      <w:rFonts w:ascii="Century Gothic" w:hAnsi="Century Gothic"/>
                    </w:rPr>
                  </w:pPr>
                  <w:r>
                    <w:rPr>
                      <w:rFonts w:ascii="Century Gothic" w:hAnsi="Century Gothic"/>
                    </w:rPr>
                    <w:t>Die italienische Fährgesellschaft GNV, Teil der MSC-Gruppe, verkündet eine Neuerung des Kundenprogramms myGNV. Mit einer Erhöhung des Cashback-Rabattes von 2,5 Prozent auf 20 Prozent ist das Treueprogramm nun deutlich attraktiver. Kunden erhalten bei einer Buchung in Höhe von mindestens 1.000 Euro bis zu 200 Euro in Form von Gutscheinen, die sie bei künftigen Fahrten einlösen können. Dieses Angebot stärkt die Kundenbindung und zeigt die Dankbarkeit GNVs für die Treue ihrer Gäste. Weitere Vorteile sind Rabatte von bis zu 20 Prozent in den Restaurants und Geschäften an Bord, um das Reiseerlebnis der treuen Kunden zu optimieren.</w:t>
                  </w:r>
                </w:p>
                <w:p w14:paraId="3A93A1EF" w14:textId="77777777" w:rsidR="001A7FEF" w:rsidRDefault="001A7FEF">
                  <w:pPr>
                    <w:autoSpaceDE w:val="0"/>
                    <w:autoSpaceDN w:val="0"/>
                    <w:spacing w:after="240" w:line="360" w:lineRule="auto"/>
                    <w:rPr>
                      <w:rFonts w:ascii="Century Gothic" w:hAnsi="Century Gothic"/>
                    </w:rPr>
                  </w:pPr>
                  <w:r>
                    <w:rPr>
                      <w:rFonts w:ascii="Century Gothic" w:hAnsi="Century Gothic"/>
                    </w:rPr>
                    <w:t>Die Entscheidung des Unternehmens in das neue „myGNV“-Programm zu investieren, basiert auf einer umfassenden Marktanalyse. Ziel ist mitunter, die Zahl der wiederkehrenden Gäste, also die Stammkundschaft, zu erhöhen. Insbesondere auf den Strecken nach Marokko, Tunesien, Sardinien und Sizilien stellen diese Passagiere einen bedeutenden Teil der GNV-Kundschaft dar. Ein treuer Kundenstamm profitiert am meisten von Programmen dieser Art und ist daher besonders empfänglich dafür.</w:t>
                  </w:r>
                </w:p>
                <w:p w14:paraId="4CB812FC" w14:textId="77777777" w:rsidR="001A7FEF" w:rsidRDefault="001A7FEF">
                  <w:pPr>
                    <w:autoSpaceDE w:val="0"/>
                    <w:autoSpaceDN w:val="0"/>
                    <w:spacing w:line="360" w:lineRule="auto"/>
                    <w:rPr>
                      <w:rFonts w:ascii="Century Gothic" w:hAnsi="Century Gothic"/>
                      <w:color w:val="000000"/>
                    </w:rPr>
                  </w:pPr>
                  <w:r>
                    <w:rPr>
                      <w:rFonts w:ascii="Century Gothic" w:hAnsi="Century Gothic"/>
                    </w:rPr>
                    <w:lastRenderedPageBreak/>
                    <w:t xml:space="preserve">Weitere Informationen zur Anmeldung und Nutzung der Vorteile des myGNV-Programms unter: </w:t>
                  </w:r>
                  <w:hyperlink r:id="rId6" w:anchor="/login" w:history="1">
                    <w:r>
                      <w:rPr>
                        <w:rStyle w:val="Hyperlink"/>
                        <w:rFonts w:ascii="Century Gothic" w:hAnsi="Century Gothic"/>
                        <w:color w:val="auto"/>
                      </w:rPr>
                      <w:t>myGNV-Programm</w:t>
                    </w:r>
                  </w:hyperlink>
                  <w:r>
                    <w:rPr>
                      <w:rStyle w:val="Hyperlink"/>
                      <w:rFonts w:ascii="Century Gothic" w:hAnsi="Century Gothic"/>
                      <w:color w:val="auto"/>
                    </w:rPr>
                    <w:t xml:space="preserve">. </w:t>
                  </w:r>
                  <w:r>
                    <w:rPr>
                      <w:rFonts w:ascii="Century Gothic" w:hAnsi="Century Gothic"/>
                      <w:color w:val="000000"/>
                    </w:rPr>
                    <w:t>Tickets sind in Reisebüros, an den GNV-</w:t>
                  </w:r>
                  <w:r>
                    <w:rPr>
                      <w:rFonts w:ascii="Century Gothic" w:hAnsi="Century Gothic"/>
                    </w:rPr>
                    <w:t xml:space="preserve">Hafenschaltern, sowie im Contact Center unter der Telefonnummer +49 6996759093 oder auf der </w:t>
                  </w:r>
                  <w:hyperlink r:id="rId7" w:history="1">
                    <w:r>
                      <w:rPr>
                        <w:rStyle w:val="Hyperlink"/>
                        <w:rFonts w:ascii="Century Gothic" w:hAnsi="Century Gothic"/>
                        <w:color w:val="auto"/>
                      </w:rPr>
                      <w:t>GNV-Website</w:t>
                    </w:r>
                  </w:hyperlink>
                  <w:r>
                    <w:rPr>
                      <w:rFonts w:ascii="Century Gothic" w:hAnsi="Century Gothic"/>
                    </w:rPr>
                    <w:t xml:space="preserve"> erhältlich</w:t>
                  </w:r>
                  <w:r>
                    <w:rPr>
                      <w:rFonts w:ascii="Century Gothic" w:hAnsi="Century Gothic"/>
                      <w:color w:val="000000"/>
                    </w:rPr>
                    <w:t>.</w:t>
                  </w:r>
                </w:p>
                <w:p w14:paraId="4CBD1A20" w14:textId="77777777" w:rsidR="001A7FEF" w:rsidRDefault="001A7FEF">
                  <w:pPr>
                    <w:autoSpaceDE w:val="0"/>
                    <w:autoSpaceDN w:val="0"/>
                    <w:spacing w:line="360" w:lineRule="auto"/>
                    <w:rPr>
                      <w:rFonts w:ascii="Century Gothic" w:hAnsi="Century Gothic"/>
                      <w:color w:val="000000"/>
                    </w:rPr>
                  </w:pPr>
                </w:p>
                <w:p w14:paraId="0DA00988" w14:textId="77777777" w:rsidR="001A7FEF" w:rsidRDefault="001A7FEF">
                  <w:pPr>
                    <w:pStyle w:val="StandardWeb"/>
                    <w:spacing w:before="0" w:beforeAutospacing="0" w:after="0" w:afterAutospacing="0" w:line="276" w:lineRule="auto"/>
                    <w:rPr>
                      <w:rFonts w:ascii="Century Gothic" w:hAnsi="Century Gothic"/>
                      <w:b/>
                      <w:bCs/>
                      <w:color w:val="000000"/>
                      <w:sz w:val="18"/>
                      <w:szCs w:val="18"/>
                    </w:rPr>
                  </w:pPr>
                  <w:r>
                    <w:rPr>
                      <w:rFonts w:ascii="Century Gothic" w:hAnsi="Century Gothic"/>
                      <w:b/>
                      <w:bCs/>
                      <w:color w:val="000000"/>
                      <w:sz w:val="18"/>
                      <w:szCs w:val="18"/>
                    </w:rPr>
                    <w:t>Über GNV:</w:t>
                  </w:r>
                </w:p>
                <w:p w14:paraId="4F9A59F5" w14:textId="77777777" w:rsidR="001A7FEF" w:rsidRDefault="001A7FEF">
                  <w:pPr>
                    <w:rPr>
                      <w:rFonts w:ascii="Century Gothic" w:hAnsi="Century Gothic"/>
                      <w:sz w:val="18"/>
                      <w:szCs w:val="18"/>
                    </w:rPr>
                  </w:pPr>
                  <w:r>
                    <w:rPr>
                      <w:rFonts w:ascii="Century Gothic" w:hAnsi="Century Gothic"/>
                      <w:color w:val="000000"/>
                      <w:sz w:val="18"/>
                      <w:szCs w:val="18"/>
                    </w:rPr>
                    <w:t xml:space="preserve">Als eines der größten im Mittelmeer tätigen italienischen Güter- und Passagierschifffahrtsunternehmen unterhält Grandi Navi Veloci eine Flotte von 28 modern ausgestatteten Fährschiffen, die Passagiere auf komfortablem Weg zu den schönsten Sehnsuchtszielen der Mittelmeerregion befördern. So bietet das Unternehmen mit Sitz in Genua Reisenden 31 verschiedene Strecken im Mittelmeer, die das italienische Festland mit Sardinien, Sizilien, Spanien, Tunesien, Marokko, Albanien, Frankreich und Malta verbinden. Die vielfältigen Annehmlichkeiten an Bord, der aufmerksame Service sowie die hochwertig ausgestatteten Kabinen machen </w:t>
                  </w:r>
                  <w:r>
                    <w:rPr>
                      <w:rFonts w:ascii="Century Gothic" w:hAnsi="Century Gothic"/>
                      <w:sz w:val="18"/>
                      <w:szCs w:val="18"/>
                    </w:rPr>
                    <w:t>die Reise mit den Fähren von GNV zu einem angenehmen Urlaubserlebnis auf hoher See. Zudem offerieren die Fährschiffe spezielle Kabinen, in denen die Mitnahme von Haustieren erlaubt ist, sowie einen exklusiven Service für die Beförderung von Fahrzeugen.</w:t>
                  </w:r>
                </w:p>
                <w:p w14:paraId="6F79E4A4" w14:textId="77777777" w:rsidR="001A7FEF" w:rsidRDefault="001A7FEF">
                  <w:pPr>
                    <w:pStyle w:val="Textkrper2"/>
                    <w:spacing w:line="360" w:lineRule="auto"/>
                    <w:rPr>
                      <w:rFonts w:ascii="Century Gothic" w:hAnsi="Century Gothic"/>
                      <w:b/>
                      <w:bCs/>
                      <w:color w:val="auto"/>
                      <w:sz w:val="22"/>
                      <w:szCs w:val="22"/>
                    </w:rPr>
                  </w:pPr>
                </w:p>
                <w:p w14:paraId="32456336" w14:textId="77777777" w:rsidR="001A7FEF" w:rsidRDefault="001A7FEF">
                  <w:pPr>
                    <w:autoSpaceDE w:val="0"/>
                    <w:autoSpaceDN w:val="0"/>
                    <w:jc w:val="both"/>
                    <w:rPr>
                      <w:rFonts w:ascii="Century Gothic" w:hAnsi="Century Gothic"/>
                      <w:b/>
                      <w:bCs/>
                      <w:sz w:val="20"/>
                      <w:szCs w:val="20"/>
                    </w:rPr>
                  </w:pPr>
                  <w:r>
                    <w:rPr>
                      <w:rFonts w:ascii="Century Gothic" w:hAnsi="Century Gothic"/>
                      <w:b/>
                      <w:bCs/>
                      <w:sz w:val="20"/>
                      <w:szCs w:val="20"/>
                    </w:rPr>
                    <w:t xml:space="preserve">Pressekontakt: </w:t>
                  </w:r>
                </w:p>
                <w:p w14:paraId="2AFBDD5E" w14:textId="6FBA8144" w:rsidR="001A7FEF" w:rsidRPr="001A7FEF" w:rsidRDefault="001A7FEF" w:rsidP="001A7FEF">
                  <w:pPr>
                    <w:pStyle w:val="Untertitel"/>
                    <w:spacing w:after="0"/>
                    <w:rPr>
                      <w:rFonts w:ascii="Century Gothic" w:eastAsiaTheme="minorHAnsi" w:hAnsi="Century Gothic" w:cs="Calibri"/>
                      <w:color w:val="000000"/>
                      <w:spacing w:val="0"/>
                      <w:sz w:val="18"/>
                      <w:szCs w:val="18"/>
                    </w:rPr>
                  </w:pPr>
                  <w:r w:rsidRPr="001A7FEF">
                    <w:rPr>
                      <w:rFonts w:ascii="Century Gothic" w:eastAsiaTheme="minorHAnsi" w:hAnsi="Century Gothic" w:cs="Calibri"/>
                      <w:color w:val="000000"/>
                      <w:spacing w:val="0"/>
                      <w:sz w:val="18"/>
                      <w:szCs w:val="18"/>
                    </w:rPr>
                    <w:drawing>
                      <wp:anchor distT="0" distB="0" distL="114300" distR="114300" simplePos="0" relativeHeight="251661312" behindDoc="0" locked="0" layoutInCell="1" allowOverlap="1" wp14:anchorId="1D130021" wp14:editId="00C27E8D">
                        <wp:simplePos x="0" y="0"/>
                        <wp:positionH relativeFrom="column">
                          <wp:posOffset>5080635</wp:posOffset>
                        </wp:positionH>
                        <wp:positionV relativeFrom="paragraph">
                          <wp:posOffset>1270</wp:posOffset>
                        </wp:positionV>
                        <wp:extent cx="605790" cy="544195"/>
                        <wp:effectExtent l="0" t="0" r="3810" b="8255"/>
                        <wp:wrapNone/>
                        <wp:docPr id="1798296192" name="Grafik 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96192" name="Grafik 4"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544195"/>
                                </a:xfrm>
                                <a:prstGeom prst="rect">
                                  <a:avLst/>
                                </a:prstGeom>
                                <a:noFill/>
                              </pic:spPr>
                            </pic:pic>
                          </a:graphicData>
                        </a:graphic>
                        <wp14:sizeRelH relativeFrom="page">
                          <wp14:pctWidth>0</wp14:pctWidth>
                        </wp14:sizeRelH>
                        <wp14:sizeRelV relativeFrom="page">
                          <wp14:pctHeight>0</wp14:pctHeight>
                        </wp14:sizeRelV>
                      </wp:anchor>
                    </w:drawing>
                  </w:r>
                  <w:r w:rsidRPr="001A7FEF">
                    <w:rPr>
                      <w:rFonts w:ascii="Century Gothic" w:eastAsiaTheme="minorHAnsi" w:hAnsi="Century Gothic" w:cs="Calibri"/>
                      <w:color w:val="000000"/>
                      <w:spacing w:val="0"/>
                      <w:sz w:val="18"/>
                      <w:szCs w:val="18"/>
                    </w:rPr>
                    <w:t>Nicola Schlauderer</w:t>
                  </w:r>
                  <w:r w:rsidRPr="001A7FEF">
                    <w:rPr>
                      <w:rFonts w:ascii="Century Gothic" w:eastAsiaTheme="minorHAnsi" w:hAnsi="Century Gothic" w:cs="Calibri"/>
                      <w:color w:val="000000"/>
                      <w:spacing w:val="0"/>
                      <w:sz w:val="18"/>
                      <w:szCs w:val="18"/>
                    </w:rPr>
                    <w:br/>
                    <w:t>uschi liebl pr GmbH, Emil-Geis-Straße 1, 81379 München</w:t>
                  </w:r>
                </w:p>
                <w:p w14:paraId="1B683552" w14:textId="77777777" w:rsidR="001A7FEF" w:rsidRPr="001A7FEF" w:rsidRDefault="001A7FEF" w:rsidP="001A7FEF">
                  <w:pPr>
                    <w:pStyle w:val="Untertitel"/>
                    <w:spacing w:after="0"/>
                    <w:rPr>
                      <w:rFonts w:ascii="Century Gothic" w:hAnsi="Century Gothic"/>
                      <w:color w:val="auto"/>
                      <w:sz w:val="18"/>
                      <w:szCs w:val="18"/>
                      <w:lang w:val="fr-FR"/>
                    </w:rPr>
                  </w:pPr>
                  <w:r w:rsidRPr="001A7FEF">
                    <w:rPr>
                      <w:rFonts w:ascii="Century Gothic" w:eastAsiaTheme="minorHAnsi" w:hAnsi="Century Gothic" w:cs="Calibri"/>
                      <w:color w:val="000000"/>
                      <w:spacing w:val="0"/>
                      <w:sz w:val="18"/>
                      <w:szCs w:val="18"/>
                    </w:rPr>
                    <w:t>tel. +49 89 7240292-0, fax +49 89 7240292-19</w:t>
                  </w:r>
                  <w:r w:rsidRPr="001A7FEF">
                    <w:rPr>
                      <w:rFonts w:ascii="Century Gothic" w:eastAsiaTheme="minorHAnsi" w:hAnsi="Century Gothic" w:cs="Calibri"/>
                      <w:color w:val="000000"/>
                      <w:spacing w:val="0"/>
                      <w:sz w:val="18"/>
                      <w:szCs w:val="18"/>
                    </w:rPr>
                    <w:br/>
                    <w:t xml:space="preserve">mail: </w:t>
                  </w:r>
                  <w:hyperlink r:id="rId9" w:history="1">
                    <w:r w:rsidRPr="001A7FEF">
                      <w:rPr>
                        <w:rFonts w:ascii="Century Gothic" w:eastAsiaTheme="minorHAnsi" w:hAnsi="Century Gothic" w:cs="Calibri"/>
                        <w:color w:val="000000"/>
                        <w:spacing w:val="0"/>
                        <w:sz w:val="18"/>
                        <w:szCs w:val="18"/>
                        <w:u w:val="single"/>
                      </w:rPr>
                      <w:t>nis@liebl-pr.de</w:t>
                    </w:r>
                  </w:hyperlink>
                  <w:r w:rsidRPr="001A7FEF">
                    <w:rPr>
                      <w:rFonts w:ascii="Century Gothic" w:hAnsi="Century Gothic"/>
                      <w:color w:val="auto"/>
                      <w:sz w:val="18"/>
                      <w:szCs w:val="18"/>
                      <w:lang w:val="en-GB"/>
                    </w:rPr>
                    <w:t xml:space="preserve"> </w:t>
                  </w:r>
                </w:p>
                <w:p w14:paraId="07D239EC" w14:textId="77777777" w:rsidR="001A7FEF" w:rsidRDefault="001A7FEF">
                  <w:pPr>
                    <w:rPr>
                      <w:rFonts w:ascii="Century Gothic" w:hAnsi="Century Gothic"/>
                      <w:color w:val="000000"/>
                      <w:sz w:val="20"/>
                      <w:szCs w:val="20"/>
                      <w:lang w:val="fr-FR"/>
                    </w:rPr>
                  </w:pPr>
                </w:p>
                <w:p w14:paraId="2704CFE1" w14:textId="77777777" w:rsidR="001A7FEF" w:rsidRDefault="001A7FEF">
                  <w:pPr>
                    <w:rPr>
                      <w:rFonts w:ascii="Century Gothic" w:hAnsi="Century Gothic"/>
                      <w:color w:val="000000"/>
                      <w:sz w:val="16"/>
                      <w:szCs w:val="16"/>
                    </w:rPr>
                  </w:pPr>
                  <w:r>
                    <w:rPr>
                      <w:rFonts w:ascii="Century Gothic" w:hAnsi="Century Gothic"/>
                      <w:color w:val="000000"/>
                      <w:sz w:val="16"/>
                      <w:szCs w:val="16"/>
                    </w:rPr>
                    <w:t>uschi liebl pr GmbH, emil-geis-straße 1, 81379 münchen</w:t>
                  </w:r>
                </w:p>
                <w:p w14:paraId="7EA7A69A" w14:textId="77777777" w:rsidR="001A7FEF" w:rsidRDefault="001A7FEF">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00AF672C" w14:textId="77777777" w:rsidR="001A7FEF" w:rsidRDefault="001A7FEF">
                  <w:pPr>
                    <w:ind w:right="-4"/>
                    <w:rPr>
                      <w:rFonts w:ascii="Century Gothic" w:hAnsi="Century Gothic"/>
                      <w:color w:val="000000"/>
                      <w:sz w:val="16"/>
                      <w:szCs w:val="16"/>
                    </w:rPr>
                  </w:pPr>
                  <w:r>
                    <w:rPr>
                      <w:rFonts w:ascii="Century Gothic" w:hAnsi="Century Gothic"/>
                      <w:color w:val="000000"/>
                      <w:sz w:val="16"/>
                      <w:szCs w:val="16"/>
                    </w:rPr>
                    <w:t>Amtsgericht München, HRB 234865, USt-ID DE313008758</w:t>
                  </w:r>
                </w:p>
                <w:p w14:paraId="6415B4F6" w14:textId="77777777" w:rsidR="001A7FEF" w:rsidRDefault="001A7FEF">
                  <w:pPr>
                    <w:ind w:right="-4"/>
                    <w:rPr>
                      <w:rFonts w:ascii="Century Gothic" w:hAnsi="Century Gothic"/>
                      <w:b/>
                      <w:bCs/>
                      <w:sz w:val="16"/>
                      <w:szCs w:val="16"/>
                    </w:rPr>
                  </w:pPr>
                </w:p>
                <w:p w14:paraId="2FCC2121" w14:textId="77777777" w:rsidR="001A7FEF" w:rsidRDefault="001A7FEF">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10"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Century Gothic" w:hAnsi="Century Gothic"/>
                      <w:b/>
                      <w:bCs/>
                      <w:sz w:val="16"/>
                      <w:szCs w:val="16"/>
                    </w:rPr>
                    <w:t xml:space="preserve"> 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11"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lang w:val="en-US"/>
                      </w:rPr>
                      <w:t>click here</w:t>
                    </w:r>
                  </w:hyperlink>
                  <w:r>
                    <w:rPr>
                      <w:rFonts w:ascii="Century Gothic" w:hAnsi="Century Gothic"/>
                      <w:b/>
                      <w:bCs/>
                      <w:sz w:val="16"/>
                      <w:szCs w:val="16"/>
                      <w:lang w:val="en-US"/>
                    </w:rPr>
                    <w:t xml:space="preserve">. </w:t>
                  </w:r>
                </w:p>
                <w:p w14:paraId="451FB32C" w14:textId="77777777" w:rsidR="001A7FEF" w:rsidRDefault="001A7FEF">
                  <w:pPr>
                    <w:autoSpaceDE w:val="0"/>
                    <w:autoSpaceDN w:val="0"/>
                    <w:ind w:right="-4"/>
                    <w:rPr>
                      <w:rFonts w:ascii="Century Gothic" w:hAnsi="Century Gothic"/>
                      <w:color w:val="000000"/>
                      <w:sz w:val="16"/>
                      <w:szCs w:val="16"/>
                      <w:lang w:val="en-US" w:eastAsia="en-US"/>
                    </w:rPr>
                  </w:pPr>
                </w:p>
                <w:p w14:paraId="6C29840F" w14:textId="77777777" w:rsidR="001A7FEF" w:rsidRDefault="001A7FEF">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2"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details on our privacy policy, see </w:t>
                  </w:r>
                  <w:hyperlink r:id="rId13" w:history="1">
                    <w:r>
                      <w:rPr>
                        <w:rStyle w:val="Hyperlink"/>
                        <w:rFonts w:ascii="Century Gothic" w:hAnsi="Century Gothic"/>
                        <w:color w:val="auto"/>
                        <w:sz w:val="16"/>
                        <w:szCs w:val="16"/>
                      </w:rPr>
                      <w:t>here</w:t>
                    </w:r>
                  </w:hyperlink>
                  <w:r>
                    <w:rPr>
                      <w:rFonts w:ascii="Century Gothic" w:hAnsi="Century Gothic"/>
                      <w:sz w:val="16"/>
                      <w:szCs w:val="16"/>
                    </w:rPr>
                    <w:t>.</w:t>
                  </w:r>
                </w:p>
                <w:p w14:paraId="0FBC34EE" w14:textId="77777777" w:rsidR="001A7FEF" w:rsidRDefault="001A7FEF">
                  <w:pPr>
                    <w:ind w:right="-4"/>
                    <w:jc w:val="both"/>
                    <w:rPr>
                      <w:rFonts w:ascii="Century Gothic" w:hAnsi="Century Gothic"/>
                      <w:b/>
                      <w:bCs/>
                      <w:sz w:val="16"/>
                      <w:szCs w:val="16"/>
                    </w:rPr>
                  </w:pPr>
                </w:p>
                <w:p w14:paraId="42473D24" w14:textId="77777777" w:rsidR="001A7FEF" w:rsidRDefault="001A7FEF">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2016E23" w14:textId="77777777" w:rsidR="001A7FEF" w:rsidRDefault="001A7FEF">
                  <w:pPr>
                    <w:ind w:left="770" w:right="634"/>
                    <w:jc w:val="both"/>
                    <w:rPr>
                      <w:rFonts w:ascii="Century Gothic" w:hAnsi="Century Gothic"/>
                      <w:sz w:val="16"/>
                      <w:szCs w:val="16"/>
                    </w:rPr>
                  </w:pPr>
                </w:p>
                <w:p w14:paraId="4BEB094F" w14:textId="77777777" w:rsidR="001A7FEF" w:rsidRDefault="001A7FEF">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75D2DC04" w14:textId="77777777" w:rsidR="001A7FEF" w:rsidRPr="001A7FEF" w:rsidRDefault="001A7FEF">
            <w:pPr>
              <w:rPr>
                <w:rFonts w:ascii="Times New Roman" w:eastAsia="Times New Roman" w:hAnsi="Times New Roman" w:cs="Times New Roman"/>
                <w:sz w:val="20"/>
                <w:szCs w:val="20"/>
                <w:lang w:val="en-GB"/>
              </w:rPr>
            </w:pPr>
          </w:p>
        </w:tc>
      </w:tr>
    </w:tbl>
    <w:p w14:paraId="46DB6EF3" w14:textId="77777777" w:rsidR="001A7FEF" w:rsidRDefault="001A7FEF" w:rsidP="001A7FEF">
      <w:pPr>
        <w:rPr>
          <w:rFonts w:ascii="Times New Roman" w:hAnsi="Times New Roman" w:cs="Times New Roman"/>
          <w:sz w:val="20"/>
          <w:szCs w:val="20"/>
          <w:lang w:val="en-GB"/>
        </w:rPr>
      </w:pPr>
    </w:p>
    <w:p w14:paraId="6B3C2AC1" w14:textId="77777777" w:rsidR="001A7FEF" w:rsidRDefault="001A7FEF" w:rsidP="001A7FEF">
      <w:pPr>
        <w:rPr>
          <w:rFonts w:ascii="Times New Roman" w:hAnsi="Times New Roman" w:cs="Times New Roman"/>
          <w:sz w:val="24"/>
          <w:szCs w:val="24"/>
          <w:lang w:val="en-GB"/>
        </w:rPr>
      </w:pPr>
    </w:p>
    <w:p w14:paraId="7E411D14" w14:textId="77777777" w:rsidR="001A7FEF" w:rsidRDefault="001A7FEF" w:rsidP="001A7FEF">
      <w:pPr>
        <w:rPr>
          <w:rFonts w:ascii="Times New Roman" w:hAnsi="Times New Roman" w:cs="Times New Roman"/>
          <w:sz w:val="24"/>
          <w:szCs w:val="24"/>
          <w:lang w:val="en-GB"/>
        </w:rPr>
      </w:pPr>
    </w:p>
    <w:p w14:paraId="230588EB" w14:textId="77777777" w:rsidR="001A7FEF" w:rsidRDefault="001A7FEF" w:rsidP="001A7FEF">
      <w:pPr>
        <w:rPr>
          <w:lang w:val="en-GB"/>
        </w:rPr>
      </w:pPr>
    </w:p>
    <w:bookmarkEnd w:id="1"/>
    <w:p w14:paraId="26627491" w14:textId="77777777" w:rsidR="001A7FEF" w:rsidRDefault="001A7FEF" w:rsidP="001A7FEF">
      <w:pPr>
        <w:rPr>
          <w:lang w:val="en-US"/>
        </w:rPr>
      </w:pPr>
    </w:p>
    <w:p w14:paraId="42F62F8B" w14:textId="77777777" w:rsidR="00952D1C" w:rsidRPr="001A7FEF" w:rsidRDefault="00952D1C">
      <w:pPr>
        <w:rPr>
          <w:lang w:val="en-GB"/>
        </w:rPr>
      </w:pPr>
    </w:p>
    <w:sectPr w:rsidR="00952D1C" w:rsidRPr="001A7F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EF"/>
    <w:rsid w:val="001A7FEF"/>
    <w:rsid w:val="00952D1C"/>
    <w:rsid w:val="00AD2213"/>
    <w:rsid w:val="00C11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42F22F"/>
  <w15:chartTrackingRefBased/>
  <w15:docId w15:val="{36A85B90-C071-45D4-9B80-84A86CBE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7FEF"/>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1A7F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A7F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A7FEF"/>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A7FEF"/>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A7FEF"/>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1A7FE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7FE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7FE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7FE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7FEF"/>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1A7FEF"/>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1A7FEF"/>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1A7FEF"/>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A7FEF"/>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1A7F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7F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7F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7FEF"/>
    <w:rPr>
      <w:rFonts w:eastAsiaTheme="majorEastAsia" w:cstheme="majorBidi"/>
      <w:color w:val="272727" w:themeColor="text1" w:themeTint="D8"/>
    </w:rPr>
  </w:style>
  <w:style w:type="paragraph" w:styleId="Titel">
    <w:name w:val="Title"/>
    <w:basedOn w:val="Standard"/>
    <w:next w:val="Standard"/>
    <w:link w:val="TitelZchn"/>
    <w:uiPriority w:val="10"/>
    <w:qFormat/>
    <w:rsid w:val="001A7FE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7F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99"/>
    <w:qFormat/>
    <w:rsid w:val="001A7FE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99"/>
    <w:rsid w:val="001A7F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7FE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A7FEF"/>
    <w:rPr>
      <w:i/>
      <w:iCs/>
      <w:color w:val="404040" w:themeColor="text1" w:themeTint="BF"/>
    </w:rPr>
  </w:style>
  <w:style w:type="paragraph" w:styleId="Listenabsatz">
    <w:name w:val="List Paragraph"/>
    <w:basedOn w:val="Standard"/>
    <w:uiPriority w:val="34"/>
    <w:qFormat/>
    <w:rsid w:val="001A7FEF"/>
    <w:pPr>
      <w:ind w:left="720"/>
      <w:contextualSpacing/>
    </w:pPr>
  </w:style>
  <w:style w:type="character" w:styleId="IntensiveHervorhebung">
    <w:name w:val="Intense Emphasis"/>
    <w:basedOn w:val="Absatz-Standardschriftart"/>
    <w:uiPriority w:val="21"/>
    <w:qFormat/>
    <w:rsid w:val="001A7FEF"/>
    <w:rPr>
      <w:i/>
      <w:iCs/>
      <w:color w:val="365F91" w:themeColor="accent1" w:themeShade="BF"/>
    </w:rPr>
  </w:style>
  <w:style w:type="paragraph" w:styleId="IntensivesZitat">
    <w:name w:val="Intense Quote"/>
    <w:basedOn w:val="Standard"/>
    <w:next w:val="Standard"/>
    <w:link w:val="IntensivesZitatZchn"/>
    <w:uiPriority w:val="30"/>
    <w:qFormat/>
    <w:rsid w:val="001A7F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A7FEF"/>
    <w:rPr>
      <w:i/>
      <w:iCs/>
      <w:color w:val="365F91" w:themeColor="accent1" w:themeShade="BF"/>
    </w:rPr>
  </w:style>
  <w:style w:type="character" w:styleId="IntensiverVerweis">
    <w:name w:val="Intense Reference"/>
    <w:basedOn w:val="Absatz-Standardschriftart"/>
    <w:uiPriority w:val="32"/>
    <w:qFormat/>
    <w:rsid w:val="001A7FEF"/>
    <w:rPr>
      <w:b/>
      <w:bCs/>
      <w:smallCaps/>
      <w:color w:val="365F91" w:themeColor="accent1" w:themeShade="BF"/>
      <w:spacing w:val="5"/>
    </w:rPr>
  </w:style>
  <w:style w:type="character" w:styleId="Hyperlink">
    <w:name w:val="Hyperlink"/>
    <w:basedOn w:val="Absatz-Standardschriftart"/>
    <w:uiPriority w:val="99"/>
    <w:semiHidden/>
    <w:unhideWhenUsed/>
    <w:rsid w:val="001A7FEF"/>
    <w:rPr>
      <w:color w:val="0000FF"/>
      <w:u w:val="single"/>
    </w:rPr>
  </w:style>
  <w:style w:type="paragraph" w:styleId="StandardWeb">
    <w:name w:val="Normal (Web)"/>
    <w:basedOn w:val="Standard"/>
    <w:uiPriority w:val="99"/>
    <w:semiHidden/>
    <w:unhideWhenUsed/>
    <w:rsid w:val="001A7FEF"/>
    <w:pPr>
      <w:spacing w:before="100" w:beforeAutospacing="1" w:after="100" w:afterAutospacing="1"/>
    </w:pPr>
    <w:rPr>
      <w:rFonts w:ascii="Aptos" w:hAnsi="Aptos" w:cs="Aptos"/>
      <w:sz w:val="24"/>
      <w:szCs w:val="24"/>
    </w:rPr>
  </w:style>
  <w:style w:type="paragraph" w:styleId="Textkrper">
    <w:name w:val="Body Text"/>
    <w:basedOn w:val="Standard"/>
    <w:link w:val="TextkrperZchn"/>
    <w:uiPriority w:val="99"/>
    <w:semiHidden/>
    <w:unhideWhenUsed/>
    <w:rsid w:val="001A7FEF"/>
    <w:pPr>
      <w:spacing w:after="120"/>
    </w:pPr>
  </w:style>
  <w:style w:type="character" w:customStyle="1" w:styleId="TextkrperZchn">
    <w:name w:val="Textkörper Zchn"/>
    <w:basedOn w:val="Absatz-Standardschriftart"/>
    <w:link w:val="Textkrper"/>
    <w:uiPriority w:val="99"/>
    <w:semiHidden/>
    <w:rsid w:val="001A7FEF"/>
    <w:rPr>
      <w:rFonts w:ascii="Calibri" w:hAnsi="Calibri" w:cs="Calibri"/>
      <w:kern w:val="0"/>
      <w:lang w:eastAsia="de-DE"/>
      <w14:ligatures w14:val="none"/>
    </w:rPr>
  </w:style>
  <w:style w:type="paragraph" w:styleId="Textkrper2">
    <w:name w:val="Body Text 2"/>
    <w:basedOn w:val="Standard"/>
    <w:link w:val="Textkrper2Zchn"/>
    <w:uiPriority w:val="99"/>
    <w:semiHidden/>
    <w:unhideWhenUsed/>
    <w:rsid w:val="001A7FEF"/>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1A7FEF"/>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ebl-pr.de/english/disclaimer/index.html" TargetMode="External"/><Relationship Id="rId3" Type="http://schemas.openxmlformats.org/officeDocument/2006/relationships/webSettings" Target="webSettings.xml"/><Relationship Id="rId7" Type="http://schemas.openxmlformats.org/officeDocument/2006/relationships/hyperlink" Target="http://www.gnv.it" TargetMode="External"/><Relationship Id="rId12" Type="http://schemas.openxmlformats.org/officeDocument/2006/relationships/hyperlink" Target="http://www.liebl-pr.de/deutsch/datenschutz/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gnv.gnv.it/" TargetMode="External"/><Relationship Id="rId11" Type="http://schemas.openxmlformats.org/officeDocument/2006/relationships/hyperlink" Target="mailto:unsubscribe@liebl-pr.de?subject=Unsubscribe%20ulpr%20media%20mailing%20list"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unsubscribe@liebl-pr.de?subject=Unsubscribe%20Presseverteiler%20ulpr" TargetMode="External"/><Relationship Id="rId4" Type="http://schemas.openxmlformats.org/officeDocument/2006/relationships/image" Target="media/image1.jpeg"/><Relationship Id="rId9" Type="http://schemas.openxmlformats.org/officeDocument/2006/relationships/hyperlink" Target="mailto:nis@liebl-pr.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4386</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cp:lastModifiedBy>
  <cp:revision>2</cp:revision>
  <dcterms:created xsi:type="dcterms:W3CDTF">2024-05-29T08:04:00Z</dcterms:created>
  <dcterms:modified xsi:type="dcterms:W3CDTF">2024-05-29T08:20:00Z</dcterms:modified>
</cp:coreProperties>
</file>